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E5" w:rsidRDefault="00CE5FE5" w:rsidP="00CE5FE5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C5FC7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 справка</w:t>
      </w:r>
    </w:p>
    <w:p w:rsidR="00CE5FE5" w:rsidRPr="004C5FC7" w:rsidRDefault="00CE5FE5" w:rsidP="00CE5FE5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к вопросу «Об актуальных проблемах сбалансированности бюджетов муниципальных образований Иркутской области»</w:t>
      </w:r>
      <w:r w:rsidR="00AB317C">
        <w:rPr>
          <w:rStyle w:val="aa"/>
          <w:rFonts w:ascii="Times New Roman" w:hAnsi="Times New Roman"/>
          <w:b/>
          <w:sz w:val="28"/>
          <w:szCs w:val="28"/>
        </w:rPr>
        <w:footnoteReference w:id="1"/>
      </w:r>
    </w:p>
    <w:p w:rsidR="00CE5FE5" w:rsidRPr="00CF6A28" w:rsidRDefault="00CE5FE5" w:rsidP="00CE5FE5">
      <w:pPr>
        <w:shd w:val="clear" w:color="auto" w:fill="D9D9D9" w:themeFill="background1" w:themeFillShade="D9"/>
        <w:spacing w:line="240" w:lineRule="auto"/>
        <w:ind w:firstLine="708"/>
        <w:contextualSpacing/>
      </w:pPr>
    </w:p>
    <w:p w:rsidR="00CE5FE5" w:rsidRDefault="00CE5FE5" w:rsidP="00CE5FE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0"/>
        </w:rPr>
      </w:pPr>
      <w:r w:rsidRPr="00CE5FE5">
        <w:rPr>
          <w:rFonts w:ascii="Times New Roman" w:hAnsi="Times New Roman" w:cs="Times New Roman"/>
          <w:sz w:val="28"/>
          <w:szCs w:val="20"/>
        </w:rPr>
        <w:t>По информации, размещенной на официальном сайте территориального органа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CE5FE5">
        <w:rPr>
          <w:rFonts w:ascii="Times New Roman" w:hAnsi="Times New Roman" w:cs="Times New Roman"/>
          <w:sz w:val="28"/>
          <w:szCs w:val="20"/>
        </w:rPr>
        <w:t>Федеральной службы государственной статистики по</w:t>
      </w:r>
      <w:r>
        <w:rPr>
          <w:rFonts w:ascii="Times New Roman" w:hAnsi="Times New Roman" w:cs="Times New Roman"/>
          <w:sz w:val="28"/>
          <w:szCs w:val="20"/>
        </w:rPr>
        <w:t xml:space="preserve"> Иркутской области</w:t>
      </w:r>
      <w:r w:rsidRPr="00CE5FE5">
        <w:rPr>
          <w:rFonts w:ascii="Times New Roman" w:hAnsi="Times New Roman" w:cs="Times New Roman"/>
          <w:sz w:val="28"/>
          <w:szCs w:val="20"/>
        </w:rPr>
        <w:t>, по состоянию на 01.01.2018 на территории Иркутской области действовало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CE5FE5">
        <w:rPr>
          <w:rFonts w:ascii="Times New Roman" w:hAnsi="Times New Roman" w:cs="Times New Roman"/>
          <w:b/>
          <w:bCs/>
          <w:sz w:val="28"/>
          <w:szCs w:val="20"/>
        </w:rPr>
        <w:t xml:space="preserve">460 </w:t>
      </w:r>
      <w:r w:rsidRPr="00CE5FE5">
        <w:rPr>
          <w:rFonts w:ascii="Times New Roman" w:hAnsi="Times New Roman" w:cs="Times New Roman"/>
          <w:sz w:val="28"/>
          <w:szCs w:val="20"/>
        </w:rPr>
        <w:t>муниципальных образований (</w:t>
      </w:r>
      <w:r w:rsidRPr="00CE5FE5">
        <w:rPr>
          <w:rFonts w:ascii="Times New Roman" w:hAnsi="Times New Roman" w:cs="Times New Roman"/>
          <w:i/>
          <w:iCs/>
          <w:sz w:val="28"/>
          <w:szCs w:val="20"/>
        </w:rPr>
        <w:t>для сравнения: на 01.01.2017- 466, на 01.01.2016 -</w:t>
      </w:r>
      <w:r>
        <w:rPr>
          <w:rFonts w:ascii="Times New Roman" w:hAnsi="Times New Roman" w:cs="Times New Roman"/>
          <w:i/>
          <w:iCs/>
          <w:sz w:val="28"/>
          <w:szCs w:val="20"/>
        </w:rPr>
        <w:t>467).</w:t>
      </w:r>
    </w:p>
    <w:p w:rsidR="00CE5FE5" w:rsidRPr="003F2091" w:rsidRDefault="00CE5FE5" w:rsidP="00CE5FE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3F2091">
        <w:rPr>
          <w:rFonts w:ascii="Times New Roman" w:hAnsi="Times New Roman" w:cs="Times New Roman"/>
          <w:sz w:val="28"/>
        </w:rPr>
        <w:t>Таблица 1</w:t>
      </w:r>
    </w:p>
    <w:p w:rsidR="00CE5FE5" w:rsidRDefault="00CE5FE5" w:rsidP="003F20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2091">
        <w:rPr>
          <w:rFonts w:ascii="Times New Roman" w:hAnsi="Times New Roman" w:cs="Times New Roman"/>
          <w:sz w:val="28"/>
          <w:szCs w:val="28"/>
        </w:rPr>
        <w:t>Динамика количества муниципальных образований Иркутской области</w:t>
      </w:r>
      <w:r w:rsidR="003F2091" w:rsidRPr="003F2091">
        <w:rPr>
          <w:rFonts w:ascii="Times New Roman" w:hAnsi="Times New Roman" w:cs="Times New Roman"/>
          <w:sz w:val="28"/>
          <w:szCs w:val="28"/>
        </w:rPr>
        <w:t xml:space="preserve"> </w:t>
      </w:r>
      <w:r w:rsidR="00920FE7">
        <w:rPr>
          <w:rFonts w:ascii="Times New Roman" w:hAnsi="Times New Roman" w:cs="Times New Roman"/>
          <w:sz w:val="28"/>
          <w:szCs w:val="28"/>
        </w:rPr>
        <w:br/>
      </w:r>
      <w:r w:rsidR="003F2091" w:rsidRPr="003F2091">
        <w:rPr>
          <w:rFonts w:ascii="Times New Roman" w:hAnsi="Times New Roman" w:cs="Times New Roman"/>
          <w:sz w:val="28"/>
          <w:szCs w:val="28"/>
        </w:rPr>
        <w:t>в 2015-2017 гг.</w:t>
      </w:r>
    </w:p>
    <w:p w:rsidR="003F2091" w:rsidRDefault="003F2091" w:rsidP="003F209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Ind w:w="93" w:type="dxa"/>
        <w:tblLook w:val="04A0" w:firstRow="1" w:lastRow="0" w:firstColumn="1" w:lastColumn="0" w:noHBand="0" w:noVBand="1"/>
      </w:tblPr>
      <w:tblGrid>
        <w:gridCol w:w="3074"/>
        <w:gridCol w:w="1333"/>
        <w:gridCol w:w="1711"/>
        <w:gridCol w:w="1243"/>
        <w:gridCol w:w="1296"/>
        <w:gridCol w:w="1243"/>
      </w:tblGrid>
      <w:tr w:rsidR="003F2091" w:rsidRPr="003F2091" w:rsidTr="003F2091">
        <w:trPr>
          <w:trHeight w:val="945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образования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01.01.2016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01.01.2017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2016/2015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01.01.2018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2017/2018</w:t>
            </w:r>
          </w:p>
        </w:tc>
      </w:tr>
      <w:tr w:rsidR="003F2091" w:rsidRPr="003F2091" w:rsidTr="003F2091">
        <w:trPr>
          <w:trHeight w:val="315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ед.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</w:tr>
      <w:tr w:rsidR="003F2091" w:rsidRPr="003F2091" w:rsidTr="003F2091">
        <w:trPr>
          <w:trHeight w:val="315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округа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091" w:rsidRPr="003F2091" w:rsidTr="003F2091">
        <w:trPr>
          <w:trHeight w:val="315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районы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091" w:rsidRPr="003F2091" w:rsidTr="003F2091">
        <w:trPr>
          <w:trHeight w:val="315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поселения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3F2091" w:rsidRPr="003F2091" w:rsidTr="003F2091">
        <w:trPr>
          <w:trHeight w:val="315"/>
          <w:jc w:val="center"/>
        </w:trPr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91" w:rsidRPr="003F2091" w:rsidRDefault="003F2091" w:rsidP="003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</w:tr>
    </w:tbl>
    <w:p w:rsidR="003F2091" w:rsidRDefault="003F2091" w:rsidP="00E061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6104" w:rsidRDefault="00E06104" w:rsidP="00AC3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E06104">
        <w:rPr>
          <w:rFonts w:ascii="Times New Roman" w:hAnsi="Times New Roman" w:cs="Times New Roman"/>
          <w:sz w:val="28"/>
          <w:szCs w:val="20"/>
        </w:rPr>
        <w:t>В течение последних трех лет отмечается тенденция сокращения количества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E06104">
        <w:rPr>
          <w:rFonts w:ascii="Times New Roman" w:hAnsi="Times New Roman" w:cs="Times New Roman"/>
          <w:sz w:val="28"/>
          <w:szCs w:val="20"/>
        </w:rPr>
        <w:t>муниципальных образований (сельских поселений), в том числе путем их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E06104">
        <w:rPr>
          <w:rFonts w:ascii="Times New Roman" w:hAnsi="Times New Roman" w:cs="Times New Roman"/>
          <w:sz w:val="28"/>
          <w:szCs w:val="20"/>
        </w:rPr>
        <w:t>объединения. Численность населения Иркутской области также имеет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E06104">
        <w:rPr>
          <w:rFonts w:ascii="Times New Roman" w:hAnsi="Times New Roman" w:cs="Times New Roman"/>
          <w:sz w:val="28"/>
          <w:szCs w:val="20"/>
        </w:rPr>
        <w:t>отрицательную динамику, в основном, за счет уменьшения численности населения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E06104">
        <w:rPr>
          <w:rFonts w:ascii="Times New Roman" w:hAnsi="Times New Roman" w:cs="Times New Roman"/>
          <w:sz w:val="28"/>
          <w:szCs w:val="20"/>
        </w:rPr>
        <w:t>городских округов от 0,8 тыс. человек до 4,1 тыс. человек в год.</w:t>
      </w:r>
    </w:p>
    <w:p w:rsidR="00E06104" w:rsidRPr="00E06104" w:rsidRDefault="00E06104" w:rsidP="00E0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E06104" w:rsidRDefault="00E06104" w:rsidP="00E0610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E06104">
        <w:rPr>
          <w:rFonts w:ascii="Times New Roman" w:hAnsi="Times New Roman" w:cs="Times New Roman"/>
          <w:sz w:val="28"/>
        </w:rPr>
        <w:t>Таблица 2</w:t>
      </w:r>
    </w:p>
    <w:p w:rsidR="00E06104" w:rsidRPr="00E06104" w:rsidRDefault="00E06104" w:rsidP="00E06104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E06104" w:rsidRDefault="00E06104" w:rsidP="00E06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06104">
        <w:rPr>
          <w:rFonts w:ascii="Times New Roman" w:hAnsi="Times New Roman" w:cs="Times New Roman"/>
          <w:sz w:val="28"/>
          <w:szCs w:val="20"/>
        </w:rPr>
        <w:t>Динамика численности населения муниципальных образований Иркутской области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E06104">
        <w:rPr>
          <w:rFonts w:ascii="Times New Roman" w:hAnsi="Times New Roman" w:cs="Times New Roman"/>
          <w:sz w:val="28"/>
          <w:szCs w:val="20"/>
        </w:rPr>
        <w:t>в 2015-201 7 годах, чел./%</w:t>
      </w:r>
    </w:p>
    <w:p w:rsidR="00E06104" w:rsidRPr="00E06104" w:rsidRDefault="00E06104" w:rsidP="00E06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9900" w:type="dxa"/>
        <w:jc w:val="center"/>
        <w:tblInd w:w="93" w:type="dxa"/>
        <w:tblLook w:val="04A0" w:firstRow="1" w:lastRow="0" w:firstColumn="1" w:lastColumn="0" w:noHBand="0" w:noVBand="1"/>
      </w:tblPr>
      <w:tblGrid>
        <w:gridCol w:w="3580"/>
        <w:gridCol w:w="1360"/>
        <w:gridCol w:w="1900"/>
        <w:gridCol w:w="980"/>
        <w:gridCol w:w="1100"/>
        <w:gridCol w:w="980"/>
      </w:tblGrid>
      <w:tr w:rsidR="00E06104" w:rsidRPr="00E06104" w:rsidTr="00E06104">
        <w:trPr>
          <w:trHeight w:val="60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Показатель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2016 в % к 2015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2017 в % к 2016</w:t>
            </w:r>
          </w:p>
        </w:tc>
      </w:tr>
      <w:tr w:rsidR="00E06104" w:rsidRPr="00E06104" w:rsidTr="00E06104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Всего по области, из них: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2 414,9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2 412,8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2 408,9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99,8</w:t>
            </w:r>
          </w:p>
        </w:tc>
      </w:tr>
      <w:tr w:rsidR="00E06104" w:rsidRPr="00E06104" w:rsidTr="00E06104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Городские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1 435,3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1 434,5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1 430,4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99,7</w:t>
            </w:r>
          </w:p>
        </w:tc>
      </w:tr>
      <w:tr w:rsidR="00E06104" w:rsidRPr="00E06104" w:rsidTr="00E06104">
        <w:trPr>
          <w:trHeight w:val="300"/>
          <w:jc w:val="center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Муниципальные районы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979,6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978,3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104" w:rsidRPr="00E06104" w:rsidRDefault="00E06104" w:rsidP="00AC3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978,5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104" w:rsidRPr="00E06104" w:rsidRDefault="00E06104" w:rsidP="00E0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0610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100,0</w:t>
            </w:r>
          </w:p>
        </w:tc>
      </w:tr>
    </w:tbl>
    <w:p w:rsidR="00E06104" w:rsidRDefault="00E06104" w:rsidP="00E061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60A4" w:rsidRDefault="00AC3127" w:rsidP="00AC3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AC3127">
        <w:rPr>
          <w:rFonts w:ascii="Times New Roman" w:hAnsi="Times New Roman" w:cs="Times New Roman"/>
          <w:sz w:val="28"/>
          <w:szCs w:val="20"/>
        </w:rPr>
        <w:lastRenderedPageBreak/>
        <w:t>Согласно отчетным данным, размещенным на официальном сайте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C3127">
        <w:rPr>
          <w:rFonts w:ascii="Times New Roman" w:hAnsi="Times New Roman" w:cs="Times New Roman"/>
          <w:sz w:val="28"/>
          <w:szCs w:val="20"/>
        </w:rPr>
        <w:t>министерства финансов Иркутской области (ф. 0503317), доходы местных бюджетов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920FE7">
        <w:rPr>
          <w:rFonts w:ascii="Times New Roman" w:hAnsi="Times New Roman" w:cs="Times New Roman"/>
          <w:sz w:val="28"/>
          <w:szCs w:val="20"/>
        </w:rPr>
        <w:t xml:space="preserve">за 2017 год </w:t>
      </w:r>
      <w:r w:rsidRPr="00AC3127">
        <w:rPr>
          <w:rFonts w:ascii="Times New Roman" w:hAnsi="Times New Roman" w:cs="Times New Roman"/>
          <w:sz w:val="28"/>
          <w:szCs w:val="20"/>
        </w:rPr>
        <w:t>исполнены в сумме 82 217 281,9 тыс. рублей, что выше показателей по доходам 2016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C3127">
        <w:rPr>
          <w:rFonts w:ascii="Times New Roman" w:hAnsi="Times New Roman" w:cs="Times New Roman"/>
          <w:sz w:val="28"/>
          <w:szCs w:val="20"/>
        </w:rPr>
        <w:t>года в абсолютных величинах на сумму 10 767 555,3 тыс. рублей, относительных -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C3127">
        <w:rPr>
          <w:rFonts w:ascii="Times New Roman" w:hAnsi="Times New Roman" w:cs="Times New Roman"/>
          <w:sz w:val="28"/>
          <w:szCs w:val="20"/>
        </w:rPr>
        <w:t>на 15,1</w:t>
      </w:r>
      <w:r w:rsidR="005A60A4">
        <w:rPr>
          <w:rFonts w:ascii="Times New Roman" w:hAnsi="Times New Roman" w:cs="Times New Roman"/>
          <w:sz w:val="28"/>
          <w:szCs w:val="20"/>
        </w:rPr>
        <w:t xml:space="preserve"> </w:t>
      </w:r>
      <w:r w:rsidRPr="00AC3127">
        <w:rPr>
          <w:rFonts w:ascii="Times New Roman" w:hAnsi="Times New Roman" w:cs="Times New Roman"/>
          <w:sz w:val="28"/>
          <w:szCs w:val="20"/>
        </w:rPr>
        <w:t>%.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AC3127" w:rsidRDefault="00AC3127" w:rsidP="00AC3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AC3127">
        <w:rPr>
          <w:rFonts w:ascii="Times New Roman" w:hAnsi="Times New Roman" w:cs="Times New Roman"/>
          <w:sz w:val="28"/>
          <w:szCs w:val="20"/>
        </w:rPr>
        <w:t>Расходы местных бюджетов за 2017 год составили 82 928 596,8 тыс. рублей,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C3127">
        <w:rPr>
          <w:rFonts w:ascii="Times New Roman" w:hAnsi="Times New Roman" w:cs="Times New Roman"/>
          <w:sz w:val="28"/>
          <w:szCs w:val="20"/>
        </w:rPr>
        <w:t>что превысило уровень 2016 года на сумму 10 496 722,8 тыс. рублей, или на 14,5</w:t>
      </w:r>
      <w:r w:rsidR="005A60A4">
        <w:rPr>
          <w:rFonts w:ascii="Times New Roman" w:hAnsi="Times New Roman" w:cs="Times New Roman"/>
          <w:sz w:val="28"/>
          <w:szCs w:val="20"/>
        </w:rPr>
        <w:t xml:space="preserve"> </w:t>
      </w:r>
      <w:r w:rsidRPr="00AC3127">
        <w:rPr>
          <w:rFonts w:ascii="Times New Roman" w:hAnsi="Times New Roman" w:cs="Times New Roman"/>
          <w:sz w:val="28"/>
          <w:szCs w:val="20"/>
        </w:rPr>
        <w:t>%.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C3127">
        <w:rPr>
          <w:rFonts w:ascii="Times New Roman" w:hAnsi="Times New Roman" w:cs="Times New Roman"/>
          <w:sz w:val="28"/>
          <w:szCs w:val="20"/>
        </w:rPr>
        <w:t>В 2017 году размер дефицита снижен по сравнению с аналогичным периодом 2016 года на сумму 270 832,5 тыс. рублей.</w:t>
      </w:r>
    </w:p>
    <w:p w:rsidR="005A60A4" w:rsidRDefault="005A60A4" w:rsidP="00AC3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5A60A4" w:rsidRDefault="005A60A4" w:rsidP="005A60A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Таблица 3</w:t>
      </w:r>
    </w:p>
    <w:p w:rsidR="005A60A4" w:rsidRDefault="005A60A4" w:rsidP="005A60A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0"/>
        </w:rPr>
      </w:pPr>
    </w:p>
    <w:p w:rsidR="005A60A4" w:rsidRDefault="005A60A4" w:rsidP="005A60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8"/>
          <w:szCs w:val="18"/>
        </w:rPr>
      </w:pPr>
      <w:r w:rsidRPr="005A60A4">
        <w:rPr>
          <w:rFonts w:ascii="TimesNewRomanPSMT" w:hAnsi="TimesNewRomanPSMT" w:cs="TimesNewRomanPSMT"/>
          <w:sz w:val="28"/>
          <w:szCs w:val="18"/>
        </w:rPr>
        <w:t>Общая характеристика исполнения местных бюджетов за</w:t>
      </w:r>
      <w:r>
        <w:rPr>
          <w:rFonts w:ascii="TimesNewRomanPSMT" w:hAnsi="TimesNewRomanPSMT" w:cs="TimesNewRomanPSMT"/>
          <w:sz w:val="28"/>
          <w:szCs w:val="18"/>
        </w:rPr>
        <w:t xml:space="preserve"> 2016-2017 гг.</w:t>
      </w:r>
    </w:p>
    <w:p w:rsidR="005A60A4" w:rsidRDefault="005A60A4" w:rsidP="005A60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8"/>
          <w:szCs w:val="18"/>
        </w:rPr>
      </w:pPr>
    </w:p>
    <w:tbl>
      <w:tblPr>
        <w:tblW w:w="9660" w:type="dxa"/>
        <w:jc w:val="center"/>
        <w:tblInd w:w="93" w:type="dxa"/>
        <w:tblLook w:val="04A0" w:firstRow="1" w:lastRow="0" w:firstColumn="1" w:lastColumn="0" w:noHBand="0" w:noVBand="1"/>
      </w:tblPr>
      <w:tblGrid>
        <w:gridCol w:w="3130"/>
        <w:gridCol w:w="1810"/>
        <w:gridCol w:w="1900"/>
        <w:gridCol w:w="1720"/>
        <w:gridCol w:w="1100"/>
      </w:tblGrid>
      <w:tr w:rsidR="005A60A4" w:rsidRPr="005A60A4" w:rsidTr="005A60A4">
        <w:trPr>
          <w:trHeight w:val="94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A4" w:rsidRPr="005A60A4" w:rsidRDefault="005A60A4" w:rsidP="005A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A4" w:rsidRPr="005A60A4" w:rsidRDefault="005A60A4" w:rsidP="005A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01.01.2017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A4" w:rsidRPr="005A60A4" w:rsidRDefault="005A60A4" w:rsidP="005A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01.01.2018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A4" w:rsidRPr="005A60A4" w:rsidRDefault="005A60A4" w:rsidP="005A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</w:t>
            </w:r>
            <w:proofErr w:type="spellEnd"/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2017/2016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A4" w:rsidRPr="005A60A4" w:rsidRDefault="005A60A4" w:rsidP="005A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</w:t>
            </w:r>
            <w:proofErr w:type="spellEnd"/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%</w:t>
            </w:r>
          </w:p>
        </w:tc>
      </w:tr>
      <w:tr w:rsidR="005A60A4" w:rsidRPr="005A60A4" w:rsidTr="005A60A4">
        <w:trPr>
          <w:trHeight w:val="300"/>
          <w:jc w:val="center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A4" w:rsidRPr="005A60A4" w:rsidRDefault="005A60A4" w:rsidP="005A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Доходы*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A4" w:rsidRPr="005A60A4" w:rsidRDefault="005A60A4" w:rsidP="005A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71 449 726,6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A4" w:rsidRPr="005A60A4" w:rsidRDefault="005A60A4" w:rsidP="005A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82 217 281,9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A4" w:rsidRPr="005A60A4" w:rsidRDefault="005A60A4" w:rsidP="005A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A4" w:rsidRPr="005A60A4" w:rsidRDefault="005A60A4" w:rsidP="005A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+ </w:t>
            </w: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15,1</w:t>
            </w:r>
          </w:p>
        </w:tc>
      </w:tr>
      <w:tr w:rsidR="005A60A4" w:rsidRPr="005A60A4" w:rsidTr="005A60A4">
        <w:trPr>
          <w:trHeight w:val="300"/>
          <w:jc w:val="center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A4" w:rsidRPr="005A60A4" w:rsidRDefault="005A60A4" w:rsidP="005A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Расходы*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A4" w:rsidRPr="005A60A4" w:rsidRDefault="005A60A4" w:rsidP="005A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72 431 874,0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A4" w:rsidRPr="005A60A4" w:rsidRDefault="005A60A4" w:rsidP="005A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82 928 596,8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A4" w:rsidRPr="005A60A4" w:rsidRDefault="005A60A4" w:rsidP="005A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496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722,8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A4" w:rsidRPr="005A60A4" w:rsidRDefault="005A60A4" w:rsidP="005A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+ </w:t>
            </w: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14,5</w:t>
            </w:r>
          </w:p>
        </w:tc>
      </w:tr>
      <w:tr w:rsidR="005A60A4" w:rsidRPr="005A60A4" w:rsidTr="005A60A4">
        <w:trPr>
          <w:trHeight w:val="300"/>
          <w:jc w:val="center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A4" w:rsidRPr="005A60A4" w:rsidRDefault="005A60A4" w:rsidP="005A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Дефицит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A4" w:rsidRPr="005A60A4" w:rsidRDefault="005A60A4" w:rsidP="005A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-982 147,4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A4" w:rsidRPr="005A60A4" w:rsidRDefault="005A60A4" w:rsidP="005A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-711 314,9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A4" w:rsidRPr="005A60A4" w:rsidRDefault="005A60A4" w:rsidP="005A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+ </w:t>
            </w: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270 832,5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0A4" w:rsidRPr="005A60A4" w:rsidRDefault="005A60A4" w:rsidP="005A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A60A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</w:t>
            </w:r>
          </w:p>
        </w:tc>
      </w:tr>
    </w:tbl>
    <w:p w:rsidR="005A60A4" w:rsidRDefault="005A60A4" w:rsidP="005A6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5A60A4">
        <w:rPr>
          <w:rFonts w:ascii="Times New Roman" w:hAnsi="Times New Roman" w:cs="Times New Roman"/>
          <w:szCs w:val="28"/>
        </w:rPr>
        <w:t>*показатели с учетом внутренних оборотов</w:t>
      </w:r>
    </w:p>
    <w:p w:rsidR="005A60A4" w:rsidRDefault="005A60A4" w:rsidP="005A6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5A60A4" w:rsidRPr="00283EB6" w:rsidRDefault="00AB317C" w:rsidP="00AB3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EB6">
        <w:rPr>
          <w:rFonts w:ascii="Times New Roman" w:hAnsi="Times New Roman" w:cs="Times New Roman"/>
          <w:b/>
          <w:sz w:val="28"/>
          <w:szCs w:val="28"/>
          <w:u w:val="single"/>
        </w:rPr>
        <w:t>Доходы местных бюджетов</w:t>
      </w:r>
    </w:p>
    <w:p w:rsidR="006E11B3" w:rsidRDefault="00AB317C" w:rsidP="00AB3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AB317C">
        <w:rPr>
          <w:rFonts w:ascii="Times New Roman" w:hAnsi="Times New Roman" w:cs="Times New Roman"/>
          <w:b/>
          <w:sz w:val="28"/>
          <w:szCs w:val="20"/>
        </w:rPr>
        <w:t>Налоговые и неналоговые доходы</w:t>
      </w:r>
      <w:r w:rsidRPr="00AB317C">
        <w:rPr>
          <w:rFonts w:ascii="Times New Roman" w:hAnsi="Times New Roman" w:cs="Times New Roman"/>
          <w:sz w:val="28"/>
          <w:szCs w:val="20"/>
        </w:rPr>
        <w:t xml:space="preserve"> по состоянию на 01.01.2018 составили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B317C">
        <w:rPr>
          <w:rFonts w:ascii="Times New Roman" w:hAnsi="Times New Roman" w:cs="Times New Roman"/>
          <w:sz w:val="28"/>
          <w:szCs w:val="20"/>
        </w:rPr>
        <w:t>27 812 754,8 тыс. рублей, прирост к аналогичному периоду 2016 года 9,9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B317C">
        <w:rPr>
          <w:rFonts w:ascii="Times New Roman" w:hAnsi="Times New Roman" w:cs="Times New Roman"/>
          <w:sz w:val="28"/>
          <w:szCs w:val="20"/>
        </w:rPr>
        <w:t>% (на сумму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B317C">
        <w:rPr>
          <w:rFonts w:ascii="Times New Roman" w:hAnsi="Times New Roman" w:cs="Times New Roman"/>
          <w:sz w:val="28"/>
          <w:szCs w:val="20"/>
        </w:rPr>
        <w:t xml:space="preserve">2 518 408,3 тыс. рублей). </w:t>
      </w:r>
      <w:r w:rsidRPr="00AB317C">
        <w:rPr>
          <w:rFonts w:ascii="Times New Roman" w:hAnsi="Times New Roman" w:cs="Times New Roman"/>
          <w:b/>
          <w:sz w:val="28"/>
          <w:szCs w:val="20"/>
        </w:rPr>
        <w:t>Удельный вес</w:t>
      </w:r>
      <w:r w:rsidRPr="00AB317C">
        <w:rPr>
          <w:rFonts w:ascii="Times New Roman" w:hAnsi="Times New Roman" w:cs="Times New Roman"/>
          <w:sz w:val="28"/>
          <w:szCs w:val="20"/>
        </w:rPr>
        <w:t xml:space="preserve"> </w:t>
      </w:r>
      <w:r w:rsidRPr="00AB317C">
        <w:rPr>
          <w:rFonts w:ascii="Times New Roman" w:hAnsi="Times New Roman" w:cs="Times New Roman"/>
          <w:b/>
          <w:sz w:val="28"/>
          <w:szCs w:val="20"/>
        </w:rPr>
        <w:t>налоговых и неналоговых доходов</w:t>
      </w:r>
      <w:r w:rsidRPr="00AB317C">
        <w:rPr>
          <w:rFonts w:ascii="Times New Roman" w:hAnsi="Times New Roman" w:cs="Times New Roman"/>
          <w:sz w:val="28"/>
          <w:szCs w:val="20"/>
        </w:rPr>
        <w:t xml:space="preserve"> в общем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B317C">
        <w:rPr>
          <w:rFonts w:ascii="Times New Roman" w:hAnsi="Times New Roman" w:cs="Times New Roman"/>
          <w:sz w:val="28"/>
          <w:szCs w:val="20"/>
        </w:rPr>
        <w:t xml:space="preserve">объеме доходов местных бюджетов </w:t>
      </w:r>
      <w:r w:rsidRPr="00AB317C">
        <w:rPr>
          <w:rFonts w:ascii="Times New Roman" w:hAnsi="Times New Roman" w:cs="Times New Roman"/>
          <w:b/>
          <w:sz w:val="28"/>
          <w:szCs w:val="20"/>
        </w:rPr>
        <w:t>составил 33,8%, что ниже уровня 2016 года на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AB317C">
        <w:rPr>
          <w:rFonts w:ascii="Times New Roman" w:hAnsi="Times New Roman" w:cs="Times New Roman"/>
          <w:b/>
          <w:sz w:val="28"/>
          <w:szCs w:val="20"/>
        </w:rPr>
        <w:t>1,6 %.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AB317C" w:rsidRDefault="00AB317C" w:rsidP="00AB3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AB317C">
        <w:rPr>
          <w:rFonts w:ascii="Times New Roman" w:hAnsi="Times New Roman" w:cs="Times New Roman"/>
          <w:sz w:val="28"/>
          <w:szCs w:val="20"/>
        </w:rPr>
        <w:t>Безвозмездные поступления местных бюджетов на 01.01.2018 составили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B317C">
        <w:rPr>
          <w:rFonts w:ascii="Times New Roman" w:hAnsi="Times New Roman" w:cs="Times New Roman"/>
          <w:sz w:val="28"/>
          <w:szCs w:val="20"/>
        </w:rPr>
        <w:t xml:space="preserve">54 404 527,1 тыс. рублей, что выше уровня 2016 года на сумму </w:t>
      </w:r>
      <w:r w:rsidR="006E11B3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Pr="00AB317C">
        <w:rPr>
          <w:rFonts w:ascii="Times New Roman" w:hAnsi="Times New Roman" w:cs="Times New Roman"/>
          <w:sz w:val="28"/>
          <w:szCs w:val="20"/>
        </w:rPr>
        <w:t>8 249 147,0 тыс.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B317C">
        <w:rPr>
          <w:rFonts w:ascii="Times New Roman" w:hAnsi="Times New Roman" w:cs="Times New Roman"/>
          <w:sz w:val="28"/>
          <w:szCs w:val="20"/>
        </w:rPr>
        <w:t>рублей, в относительной величине - на 17,9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B317C">
        <w:rPr>
          <w:rFonts w:ascii="Times New Roman" w:hAnsi="Times New Roman" w:cs="Times New Roman"/>
          <w:sz w:val="28"/>
          <w:szCs w:val="20"/>
        </w:rPr>
        <w:t>%.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B317C">
        <w:rPr>
          <w:rFonts w:ascii="Times New Roman" w:hAnsi="Times New Roman" w:cs="Times New Roman"/>
          <w:sz w:val="28"/>
          <w:szCs w:val="20"/>
        </w:rPr>
        <w:t>Безвозмездные поступления из бюджетов бюджетной системы за 2017 год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B317C">
        <w:rPr>
          <w:rFonts w:ascii="Times New Roman" w:hAnsi="Times New Roman" w:cs="Times New Roman"/>
          <w:sz w:val="28"/>
          <w:szCs w:val="20"/>
        </w:rPr>
        <w:t>исполнены в сумме 54 372 506,7 тыс. рублей, что выше аналогичного показателя за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B317C">
        <w:rPr>
          <w:rFonts w:ascii="Times New Roman" w:hAnsi="Times New Roman" w:cs="Times New Roman"/>
          <w:sz w:val="28"/>
          <w:szCs w:val="20"/>
        </w:rPr>
        <w:t>2016 года на сумму 10 550 016,0 тыс. рублей</w:t>
      </w:r>
      <w:proofErr w:type="gramEnd"/>
      <w:r w:rsidRPr="00AB317C">
        <w:rPr>
          <w:rFonts w:ascii="Times New Roman" w:hAnsi="Times New Roman" w:cs="Times New Roman"/>
          <w:sz w:val="28"/>
          <w:szCs w:val="20"/>
        </w:rPr>
        <w:t>, или на 24,0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AB317C">
        <w:rPr>
          <w:rFonts w:ascii="Times New Roman" w:hAnsi="Times New Roman" w:cs="Times New Roman"/>
          <w:sz w:val="28"/>
          <w:szCs w:val="20"/>
        </w:rPr>
        <w:t>%.</w:t>
      </w:r>
    </w:p>
    <w:p w:rsidR="00920FE7" w:rsidRDefault="00920FE7" w:rsidP="00920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B3">
        <w:rPr>
          <w:rFonts w:ascii="Times New Roman" w:hAnsi="Times New Roman" w:cs="Times New Roman"/>
          <w:sz w:val="28"/>
          <w:szCs w:val="28"/>
        </w:rPr>
        <w:t>Наибольшую долю в общем объеме доходов местных бюджетов занимают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B3">
        <w:rPr>
          <w:rFonts w:ascii="Times New Roman" w:hAnsi="Times New Roman" w:cs="Times New Roman"/>
          <w:sz w:val="28"/>
          <w:szCs w:val="28"/>
        </w:rPr>
        <w:t>безвозмездные поступления: 2016 год - 61,3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B3">
        <w:rPr>
          <w:rFonts w:ascii="Times New Roman" w:hAnsi="Times New Roman" w:cs="Times New Roman"/>
          <w:sz w:val="28"/>
          <w:szCs w:val="28"/>
        </w:rPr>
        <w:t>%; 2017 год - 66,1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B3">
        <w:rPr>
          <w:rFonts w:ascii="Times New Roman" w:hAnsi="Times New Roman" w:cs="Times New Roman"/>
          <w:sz w:val="28"/>
          <w:szCs w:val="28"/>
        </w:rPr>
        <w:t>%, прирост +4,8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B3">
        <w:rPr>
          <w:rFonts w:ascii="Times New Roman" w:hAnsi="Times New Roman" w:cs="Times New Roman"/>
          <w:sz w:val="28"/>
          <w:szCs w:val="28"/>
        </w:rPr>
        <w:t>%.</w:t>
      </w:r>
    </w:p>
    <w:p w:rsidR="00920FE7" w:rsidRDefault="00920FE7" w:rsidP="00920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B3">
        <w:rPr>
          <w:rFonts w:ascii="Times New Roman" w:hAnsi="Times New Roman" w:cs="Times New Roman"/>
          <w:b/>
          <w:bCs/>
          <w:sz w:val="28"/>
          <w:szCs w:val="28"/>
        </w:rPr>
        <w:t xml:space="preserve">Налоговые и неналоговые доходы. </w:t>
      </w:r>
      <w:proofErr w:type="gramStart"/>
      <w:r w:rsidRPr="006E11B3">
        <w:rPr>
          <w:rFonts w:ascii="Times New Roman" w:hAnsi="Times New Roman" w:cs="Times New Roman"/>
          <w:sz w:val="28"/>
          <w:szCs w:val="28"/>
        </w:rPr>
        <w:t>Налоги на доходы физических лиц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B3">
        <w:rPr>
          <w:rFonts w:ascii="Times New Roman" w:hAnsi="Times New Roman" w:cs="Times New Roman"/>
          <w:sz w:val="28"/>
          <w:szCs w:val="28"/>
        </w:rPr>
        <w:t>состоянию на 01.01.2018 составили 14 889 771,9 тыс. рублей, что выше уровня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B3">
        <w:rPr>
          <w:rFonts w:ascii="Times New Roman" w:hAnsi="Times New Roman" w:cs="Times New Roman"/>
          <w:sz w:val="28"/>
          <w:szCs w:val="28"/>
        </w:rPr>
        <w:t>года на сумму 914 711,9 тыс. рублей, или 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B3">
        <w:rPr>
          <w:rFonts w:ascii="Times New Roman" w:hAnsi="Times New Roman" w:cs="Times New Roman"/>
          <w:sz w:val="28"/>
          <w:szCs w:val="28"/>
        </w:rPr>
        <w:t>%. Налоги на имущество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B3">
        <w:rPr>
          <w:rFonts w:ascii="Times New Roman" w:hAnsi="Times New Roman" w:cs="Times New Roman"/>
          <w:sz w:val="28"/>
          <w:szCs w:val="28"/>
        </w:rPr>
        <w:t>лиц поступили в 2017 году в сумме 3 921 934,6 тыс. рублей, что выше уровня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B3">
        <w:rPr>
          <w:rFonts w:ascii="Times New Roman" w:hAnsi="Times New Roman" w:cs="Times New Roman"/>
          <w:sz w:val="28"/>
          <w:szCs w:val="28"/>
        </w:rPr>
        <w:t>года на сумму 460 977,1 тыс. рублей, или 13,3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B3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920FE7" w:rsidRDefault="00920FE7" w:rsidP="00C87C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0"/>
        </w:rPr>
      </w:pPr>
    </w:p>
    <w:p w:rsidR="00920FE7" w:rsidRDefault="00920FE7" w:rsidP="00C87C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0"/>
        </w:rPr>
      </w:pPr>
    </w:p>
    <w:p w:rsidR="00920FE7" w:rsidRDefault="00920FE7" w:rsidP="00C87C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0"/>
        </w:rPr>
      </w:pPr>
    </w:p>
    <w:p w:rsidR="00920FE7" w:rsidRDefault="00920FE7" w:rsidP="00C87C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0"/>
        </w:rPr>
      </w:pPr>
    </w:p>
    <w:p w:rsidR="006E11B3" w:rsidRDefault="00C87C80" w:rsidP="00C87C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Исполнение доходной части местных бюджетов за 2016-2017 гг., </w:t>
      </w:r>
      <w:r w:rsidR="00920FE7">
        <w:rPr>
          <w:rFonts w:ascii="Times New Roman" w:hAnsi="Times New Roman" w:cs="Times New Roman"/>
          <w:sz w:val="28"/>
          <w:szCs w:val="20"/>
        </w:rPr>
        <w:br/>
      </w:r>
      <w:r>
        <w:rPr>
          <w:rFonts w:ascii="Times New Roman" w:hAnsi="Times New Roman" w:cs="Times New Roman"/>
          <w:sz w:val="28"/>
          <w:szCs w:val="20"/>
        </w:rPr>
        <w:t>тыс. руб.</w:t>
      </w:r>
    </w:p>
    <w:p w:rsidR="00920FE7" w:rsidRDefault="00920FE7" w:rsidP="00C87C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105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7"/>
        <w:gridCol w:w="1641"/>
        <w:gridCol w:w="1607"/>
        <w:gridCol w:w="1560"/>
        <w:gridCol w:w="1374"/>
      </w:tblGrid>
      <w:tr w:rsidR="00C87C80" w:rsidRPr="00C87C80" w:rsidTr="00920FE7">
        <w:trPr>
          <w:trHeight w:val="85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Исполнено за 2016 год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Исполнено за 2017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Прирост (снижение) 2017/2016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920FE7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Прирост /снижение</w:t>
            </w:r>
            <w:r w:rsidR="00C87C80"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% 2017/2016</w:t>
            </w:r>
          </w:p>
        </w:tc>
      </w:tr>
      <w:tr w:rsidR="00C87C80" w:rsidRPr="00C87C80" w:rsidTr="00920FE7">
        <w:trPr>
          <w:trHeight w:val="30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Доходы бюджета, 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71 449 726,6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82 217 281,9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10 767 555,3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7D0BC6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+</w:t>
            </w:r>
            <w:r w:rsidR="00C87C80"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%</w:t>
            </w:r>
          </w:p>
        </w:tc>
      </w:tr>
      <w:tr w:rsidR="00C87C80" w:rsidRPr="00C87C80" w:rsidTr="00920FE7">
        <w:trPr>
          <w:trHeight w:val="306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Налоговые и неналоговы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 </w:t>
            </w: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25 294 346,5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27 812 754,8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2 518 408,3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7D0BC6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+</w:t>
            </w:r>
            <w:r w:rsidR="00C87C80"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%</w:t>
            </w:r>
          </w:p>
        </w:tc>
      </w:tr>
      <w:tr w:rsidR="00C87C80" w:rsidRPr="00C87C80" w:rsidTr="00920FE7">
        <w:trPr>
          <w:trHeight w:val="61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Удельный вес в общем объеме доходов, 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35,4</w:t>
            </w:r>
            <w:r w:rsidR="007D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33,8</w:t>
            </w:r>
            <w:r w:rsidR="007D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7D0BC6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="00C87C80"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</w:t>
            </w:r>
          </w:p>
        </w:tc>
      </w:tr>
      <w:tr w:rsidR="00C87C80" w:rsidRPr="00C87C80" w:rsidTr="00920FE7">
        <w:trPr>
          <w:trHeight w:val="61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Безвозмездные поступления, всего из них: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46 155 380,1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54 404 527,1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8 249 147,0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7D0BC6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+</w:t>
            </w:r>
            <w:r w:rsidR="00C87C80"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%</w:t>
            </w:r>
          </w:p>
        </w:tc>
      </w:tr>
      <w:tr w:rsidR="00C87C80" w:rsidRPr="00C87C80" w:rsidTr="00920FE7">
        <w:trPr>
          <w:trHeight w:val="61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безвозмездные поступления из бюджетов бюджетной системы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43 822 490,7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54 372 506,7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10 550 016,0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7D0BC6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+</w:t>
            </w:r>
            <w:r w:rsidR="00C87C80"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%</w:t>
            </w:r>
          </w:p>
        </w:tc>
      </w:tr>
      <w:tr w:rsidR="00C87C80" w:rsidRPr="00C87C80" w:rsidTr="00920FE7">
        <w:trPr>
          <w:trHeight w:val="613"/>
        </w:trPr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Удельный вес в общем объеме доходов, 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61,3</w:t>
            </w:r>
            <w:r w:rsidR="007D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66,1</w:t>
            </w:r>
            <w:r w:rsidR="007D0BC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7D0BC6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+</w:t>
            </w:r>
            <w:r w:rsidR="00C87C80"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%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C80" w:rsidRPr="00C87C80" w:rsidRDefault="00C87C80" w:rsidP="00C8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7C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</w:t>
            </w:r>
          </w:p>
        </w:tc>
      </w:tr>
    </w:tbl>
    <w:p w:rsidR="00C87C80" w:rsidRDefault="00C87C80" w:rsidP="00AB31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6E11B3" w:rsidRDefault="006E11B3" w:rsidP="006E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1B3">
        <w:rPr>
          <w:rFonts w:ascii="Times New Roman" w:hAnsi="Times New Roman" w:cs="Times New Roman"/>
          <w:sz w:val="28"/>
          <w:szCs w:val="28"/>
        </w:rPr>
        <w:t>В 2017 году в местные бюджеты дополнительно поступили налоги,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B3">
        <w:rPr>
          <w:rFonts w:ascii="Times New Roman" w:hAnsi="Times New Roman" w:cs="Times New Roman"/>
          <w:sz w:val="28"/>
          <w:szCs w:val="28"/>
        </w:rPr>
        <w:t>применением упрощенной системы налогообложения в сумме</w:t>
      </w:r>
      <w:r w:rsidR="004A62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11B3">
        <w:rPr>
          <w:rFonts w:ascii="Times New Roman" w:hAnsi="Times New Roman" w:cs="Times New Roman"/>
          <w:sz w:val="28"/>
          <w:szCs w:val="28"/>
        </w:rPr>
        <w:t xml:space="preserve"> 1 529 314,9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B3">
        <w:rPr>
          <w:rFonts w:ascii="Times New Roman" w:hAnsi="Times New Roman" w:cs="Times New Roman"/>
          <w:sz w:val="28"/>
          <w:szCs w:val="28"/>
        </w:rPr>
        <w:t xml:space="preserve">рублей. </w:t>
      </w:r>
      <w:proofErr w:type="gramStart"/>
      <w:r w:rsidRPr="006E11B3">
        <w:rPr>
          <w:rFonts w:ascii="Times New Roman" w:hAnsi="Times New Roman" w:cs="Times New Roman"/>
          <w:sz w:val="28"/>
          <w:szCs w:val="28"/>
        </w:rPr>
        <w:t>Законом Иркутской области от 22.10.2013 № 74-03 «О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B3">
        <w:rPr>
          <w:rFonts w:ascii="Times New Roman" w:hAnsi="Times New Roman" w:cs="Times New Roman"/>
          <w:sz w:val="28"/>
          <w:szCs w:val="28"/>
        </w:rPr>
        <w:t>трансфертах и нормативах отчислений доходов в местные бюджеты» с 01.01.2017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B3">
        <w:rPr>
          <w:rFonts w:ascii="Times New Roman" w:hAnsi="Times New Roman" w:cs="Times New Roman"/>
          <w:sz w:val="28"/>
          <w:szCs w:val="28"/>
        </w:rPr>
        <w:t>установлены нормативы отчислений в бюджеты городских округов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B3">
        <w:rPr>
          <w:rFonts w:ascii="Times New Roman" w:hAnsi="Times New Roman" w:cs="Times New Roman"/>
          <w:sz w:val="28"/>
          <w:szCs w:val="28"/>
        </w:rPr>
        <w:t>муниципальных районов от налога, взимаемого в связи с применением упрощенной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B3">
        <w:rPr>
          <w:rFonts w:ascii="Times New Roman" w:hAnsi="Times New Roman" w:cs="Times New Roman"/>
          <w:sz w:val="28"/>
          <w:szCs w:val="28"/>
        </w:rPr>
        <w:t>системы налогообложения, - 30 процентов от объема доходов по данному виду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B3">
        <w:rPr>
          <w:rFonts w:ascii="Times New Roman" w:hAnsi="Times New Roman" w:cs="Times New Roman"/>
          <w:sz w:val="28"/>
          <w:szCs w:val="28"/>
        </w:rPr>
        <w:t>налога, подлежащего зачислению с территории соответствующего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B3">
        <w:rPr>
          <w:rFonts w:ascii="Times New Roman" w:hAnsi="Times New Roman" w:cs="Times New Roman"/>
          <w:sz w:val="28"/>
          <w:szCs w:val="28"/>
        </w:rPr>
        <w:t>округа в консолидированный бюджет Иркутской области.</w:t>
      </w:r>
      <w:proofErr w:type="gramEnd"/>
    </w:p>
    <w:p w:rsidR="0041518B" w:rsidRDefault="0041518B" w:rsidP="006E1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18B" w:rsidRDefault="004A6260" w:rsidP="004151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DC4EC9" wp14:editId="65C77119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518B" w:rsidRDefault="0041518B" w:rsidP="0041518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3EB6" w:rsidRDefault="0041518B" w:rsidP="00415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Динамика доходов местных бюджетов за 2016-2017 гг.</w:t>
      </w:r>
    </w:p>
    <w:p w:rsidR="004A6260" w:rsidRDefault="004A6260" w:rsidP="004A62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260" w:rsidRDefault="004A6260" w:rsidP="004A626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260"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  <w:r w:rsidRPr="004A6260">
        <w:rPr>
          <w:rFonts w:ascii="Times New Roman" w:hAnsi="Times New Roman" w:cs="Times New Roman"/>
          <w:sz w:val="28"/>
          <w:szCs w:val="28"/>
        </w:rPr>
        <w:t xml:space="preserve"> на 01.01.2018 исполнены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6260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6260">
        <w:rPr>
          <w:rFonts w:ascii="Times New Roman" w:hAnsi="Times New Roman" w:cs="Times New Roman"/>
          <w:sz w:val="28"/>
          <w:szCs w:val="28"/>
        </w:rPr>
        <w:t>372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506,7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тыс. рублей, что выше уровня 2016 года на 10 550 015,9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260">
        <w:rPr>
          <w:rFonts w:ascii="Times New Roman" w:hAnsi="Times New Roman" w:cs="Times New Roman"/>
          <w:sz w:val="28"/>
          <w:szCs w:val="28"/>
        </w:rPr>
        <w:t>Законами Иркутской области от 23.12.2015 № 130-03 «Об областном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на 2016 год» и от 21.12.2016 № 121-03 «Об областном бюджете на 2017 год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плановый период 2018 и 2019 годов» местным бюджетам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предусмотрены:</w:t>
      </w:r>
      <w:proofErr w:type="gramEnd"/>
    </w:p>
    <w:p w:rsidR="004A6260" w:rsidRPr="004A6260" w:rsidRDefault="004A6260" w:rsidP="00394D4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260">
        <w:rPr>
          <w:rFonts w:ascii="Times New Roman" w:hAnsi="Times New Roman" w:cs="Times New Roman"/>
          <w:sz w:val="28"/>
          <w:szCs w:val="28"/>
        </w:rPr>
        <w:t xml:space="preserve">- </w:t>
      </w:r>
      <w:r w:rsidRPr="00394D43">
        <w:rPr>
          <w:rFonts w:ascii="Times New Roman" w:hAnsi="Times New Roman" w:cs="Times New Roman"/>
          <w:b/>
          <w:sz w:val="28"/>
          <w:szCs w:val="28"/>
        </w:rPr>
        <w:t>дотации на выравнивание бюджетной обеспеченности поселений,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образующих фонд финансовой поддержки поселений Иркутской области (в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году - 873 383,8 тыс. рублей; в 2017 году - 189 033,9 тыс. рублей).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распределения дотаций утвержден Законом № 74-03;</w:t>
      </w:r>
    </w:p>
    <w:p w:rsidR="004A6260" w:rsidRPr="004A6260" w:rsidRDefault="004A6260" w:rsidP="004A626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260">
        <w:rPr>
          <w:rFonts w:ascii="Times New Roman" w:hAnsi="Times New Roman" w:cs="Times New Roman"/>
          <w:b/>
          <w:sz w:val="28"/>
          <w:szCs w:val="28"/>
        </w:rPr>
        <w:t>- дотации на выравнивание бюджетной обеспеченности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b/>
          <w:sz w:val="28"/>
          <w:szCs w:val="28"/>
        </w:rPr>
        <w:t>районов (городских округов)</w:t>
      </w:r>
      <w:r w:rsidRPr="004A6260">
        <w:rPr>
          <w:rFonts w:ascii="Times New Roman" w:hAnsi="Times New Roman" w:cs="Times New Roman"/>
          <w:sz w:val="28"/>
          <w:szCs w:val="28"/>
        </w:rPr>
        <w:t>, образующих фонд финансовой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муниципальных районов (городских округов) Иркутской области (в 2016 году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 xml:space="preserve">998 283,7 тыс. рублей; в 2017 году - </w:t>
      </w:r>
      <w:r w:rsidR="00AF18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A6260">
        <w:rPr>
          <w:rFonts w:ascii="Times New Roman" w:hAnsi="Times New Roman" w:cs="Times New Roman"/>
          <w:sz w:val="28"/>
          <w:szCs w:val="28"/>
        </w:rPr>
        <w:t>1 000 000,0 тыс. рублей);</w:t>
      </w:r>
    </w:p>
    <w:p w:rsidR="004A6260" w:rsidRDefault="004A6260" w:rsidP="004A626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260">
        <w:rPr>
          <w:rFonts w:ascii="Times New Roman" w:hAnsi="Times New Roman" w:cs="Times New Roman"/>
          <w:b/>
          <w:sz w:val="28"/>
          <w:szCs w:val="28"/>
        </w:rPr>
        <w:t>- субсидии на выравнивание обеспеченности муниципальных образований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Pr="004A6260">
        <w:rPr>
          <w:rFonts w:ascii="Times New Roman" w:hAnsi="Times New Roman" w:cs="Times New Roman"/>
          <w:sz w:val="28"/>
          <w:szCs w:val="28"/>
        </w:rPr>
        <w:t xml:space="preserve"> по реализации ими их отдельных расходных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связанных с:</w:t>
      </w:r>
    </w:p>
    <w:p w:rsidR="004A6260" w:rsidRDefault="004A6260" w:rsidP="004A626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260">
        <w:rPr>
          <w:rFonts w:ascii="Times New Roman" w:hAnsi="Times New Roman" w:cs="Times New Roman"/>
          <w:sz w:val="28"/>
          <w:szCs w:val="28"/>
        </w:rPr>
        <w:t xml:space="preserve"> 1) выплатой денежного содержания с начислениями на него главам,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муниципальным служащим органов местного самоуправления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образований Иркутской области, а также заработной платы с начислениями на 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техническому и вспомогательному персоналу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муниципальных образований Иркутской области, работникам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находящихся в ведении органов местного самоуправления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образований Иркутской области;</w:t>
      </w:r>
    </w:p>
    <w:p w:rsidR="004A6260" w:rsidRDefault="004A6260" w:rsidP="004A626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260">
        <w:rPr>
          <w:rFonts w:ascii="Times New Roman" w:hAnsi="Times New Roman" w:cs="Times New Roman"/>
          <w:sz w:val="28"/>
          <w:szCs w:val="28"/>
        </w:rPr>
        <w:t xml:space="preserve"> 2) оплатой кредиторской задолженности и текущих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 xml:space="preserve">платежей по коммунальным услугам учреждений, находящихся в ведении </w:t>
      </w:r>
      <w:proofErr w:type="spellStart"/>
      <w:r w:rsidRPr="004A6260">
        <w:rPr>
          <w:rFonts w:ascii="Times New Roman" w:hAnsi="Times New Roman" w:cs="Times New Roman"/>
          <w:sz w:val="28"/>
          <w:szCs w:val="28"/>
        </w:rPr>
        <w:t>органовместного</w:t>
      </w:r>
      <w:proofErr w:type="spellEnd"/>
      <w:r w:rsidRPr="004A6260"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 образований Иркутской области (в 2016году 3 032 926,0 тыс. рублей);</w:t>
      </w:r>
    </w:p>
    <w:p w:rsidR="004A6260" w:rsidRDefault="004A6260" w:rsidP="004A626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260">
        <w:rPr>
          <w:rFonts w:ascii="Times New Roman" w:hAnsi="Times New Roman" w:cs="Times New Roman"/>
          <w:b/>
          <w:sz w:val="28"/>
          <w:szCs w:val="28"/>
        </w:rPr>
        <w:t>- субсидии из областного бюджета местным бюджетам:</w:t>
      </w:r>
    </w:p>
    <w:p w:rsidR="004A6260" w:rsidRDefault="004A6260" w:rsidP="004A626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260">
        <w:rPr>
          <w:rFonts w:ascii="Times New Roman" w:hAnsi="Times New Roman" w:cs="Times New Roman"/>
          <w:sz w:val="28"/>
          <w:szCs w:val="28"/>
        </w:rPr>
        <w:t xml:space="preserve"> 1)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районных фондов финансовой поддержки поселений Иркутской области (в 2017году - 2 250 000,0 тыс. рублей);</w:t>
      </w:r>
    </w:p>
    <w:p w:rsidR="004A6260" w:rsidRDefault="004A6260" w:rsidP="004A626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6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260">
        <w:rPr>
          <w:rFonts w:ascii="Times New Roman" w:hAnsi="Times New Roman" w:cs="Times New Roman"/>
          <w:sz w:val="28"/>
          <w:szCs w:val="28"/>
        </w:rPr>
        <w:t>2) выравнивание обеспеченности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районов (городских округов) Иркутской области по реализации ими их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расходных обязательств - выплатой денежного содержания с начислениями на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главам, муниципальным служащим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муниципальных районов (городских округов) Иркутской области, а также</w:t>
      </w:r>
      <w:r w:rsidR="00AF18FD"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заработной платы с начислениями на нее техническому и вспомогательному</w:t>
      </w:r>
      <w:r w:rsidR="00AF18FD"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персоналу органов местного самоуправления муниципальных районов (городских</w:t>
      </w:r>
      <w:r w:rsidR="00AF18FD"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округов) Иркутской области, работникам учреждений, находящихся в</w:t>
      </w:r>
      <w:proofErr w:type="gramEnd"/>
      <w:r w:rsidRPr="004A62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6260">
        <w:rPr>
          <w:rFonts w:ascii="Times New Roman" w:hAnsi="Times New Roman" w:cs="Times New Roman"/>
          <w:sz w:val="28"/>
          <w:szCs w:val="28"/>
        </w:rPr>
        <w:t>ведении</w:t>
      </w:r>
      <w:r w:rsidR="00AF18FD"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районов (городских округов)</w:t>
      </w:r>
      <w:r w:rsidR="00AF18FD"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Иркутской области и оплатой кредиторской задолженности и текущих платежей по</w:t>
      </w:r>
      <w:r w:rsidR="00AF18FD"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коммунальным услугам учреждений, находящихся в ведении органов местного</w:t>
      </w:r>
      <w:r w:rsidR="00AF18FD"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>самоуправления муниципальных районов (городских округов) Иркутской области</w:t>
      </w:r>
      <w:r w:rsidR="00AF18FD">
        <w:rPr>
          <w:rFonts w:ascii="Times New Roman" w:hAnsi="Times New Roman" w:cs="Times New Roman"/>
          <w:sz w:val="28"/>
          <w:szCs w:val="28"/>
        </w:rPr>
        <w:t xml:space="preserve"> </w:t>
      </w:r>
      <w:r w:rsidRPr="004A6260">
        <w:rPr>
          <w:rFonts w:ascii="Times New Roman" w:hAnsi="Times New Roman" w:cs="Times New Roman"/>
          <w:sz w:val="28"/>
          <w:szCs w:val="28"/>
        </w:rPr>
        <w:t xml:space="preserve">(в 2017 году - 2 279 683,2 тыс. рублей). </w:t>
      </w:r>
      <w:proofErr w:type="gramEnd"/>
    </w:p>
    <w:p w:rsidR="003964B7" w:rsidRDefault="00837190" w:rsidP="00837190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19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Расходы местных бюджетов</w:t>
      </w:r>
    </w:p>
    <w:p w:rsidR="00394D43" w:rsidRDefault="00394D43" w:rsidP="00837190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4D43" w:rsidRDefault="00837190" w:rsidP="00394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E70">
        <w:rPr>
          <w:rFonts w:ascii="Times New Roman" w:hAnsi="Times New Roman" w:cs="Times New Roman"/>
          <w:sz w:val="28"/>
          <w:szCs w:val="28"/>
        </w:rPr>
        <w:t xml:space="preserve">Расходы местных бюджетов по состоянию на 01.01.2018 составили </w:t>
      </w:r>
      <w:r w:rsidR="00394D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3E70">
        <w:rPr>
          <w:rFonts w:ascii="Times New Roman" w:hAnsi="Times New Roman" w:cs="Times New Roman"/>
          <w:sz w:val="28"/>
          <w:szCs w:val="28"/>
        </w:rPr>
        <w:t>82 928 596,8тыс. рублей, что выше уровня 2016 года в абсолютном выражении на сумму</w:t>
      </w:r>
      <w:r w:rsidR="00394D43">
        <w:rPr>
          <w:rFonts w:ascii="Times New Roman" w:hAnsi="Times New Roman" w:cs="Times New Roman"/>
          <w:sz w:val="28"/>
          <w:szCs w:val="28"/>
        </w:rPr>
        <w:t xml:space="preserve"> </w:t>
      </w:r>
      <w:r w:rsidRPr="00EE3E70">
        <w:rPr>
          <w:rFonts w:ascii="Times New Roman" w:hAnsi="Times New Roman" w:cs="Times New Roman"/>
          <w:sz w:val="28"/>
          <w:szCs w:val="28"/>
        </w:rPr>
        <w:t>10 496 722,8 тыс. рублей, или 14,5</w:t>
      </w:r>
      <w:r w:rsidR="00394D43">
        <w:rPr>
          <w:rFonts w:ascii="Times New Roman" w:hAnsi="Times New Roman" w:cs="Times New Roman"/>
          <w:sz w:val="28"/>
          <w:szCs w:val="28"/>
        </w:rPr>
        <w:t xml:space="preserve"> </w:t>
      </w:r>
      <w:r w:rsidRPr="00EE3E70">
        <w:rPr>
          <w:rFonts w:ascii="Times New Roman" w:hAnsi="Times New Roman" w:cs="Times New Roman"/>
          <w:sz w:val="28"/>
          <w:szCs w:val="28"/>
        </w:rPr>
        <w:t>%. По сравнению с показателями за 2015 год</w:t>
      </w:r>
      <w:r w:rsidR="00394D43">
        <w:rPr>
          <w:rFonts w:ascii="Times New Roman" w:hAnsi="Times New Roman" w:cs="Times New Roman"/>
          <w:sz w:val="28"/>
          <w:szCs w:val="28"/>
        </w:rPr>
        <w:t xml:space="preserve"> </w:t>
      </w:r>
      <w:r w:rsidRPr="00EE3E70">
        <w:rPr>
          <w:rFonts w:ascii="Times New Roman" w:hAnsi="Times New Roman" w:cs="Times New Roman"/>
          <w:sz w:val="28"/>
          <w:szCs w:val="28"/>
        </w:rPr>
        <w:t xml:space="preserve">прирост расходов в 2017 году составил </w:t>
      </w:r>
      <w:r w:rsidR="00394D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E3E70">
        <w:rPr>
          <w:rFonts w:ascii="Times New Roman" w:hAnsi="Times New Roman" w:cs="Times New Roman"/>
          <w:sz w:val="28"/>
          <w:szCs w:val="28"/>
        </w:rPr>
        <w:t>24,9</w:t>
      </w:r>
      <w:r w:rsidR="00394D43">
        <w:rPr>
          <w:rFonts w:ascii="Times New Roman" w:hAnsi="Times New Roman" w:cs="Times New Roman"/>
          <w:sz w:val="28"/>
          <w:szCs w:val="28"/>
        </w:rPr>
        <w:t xml:space="preserve"> </w:t>
      </w:r>
      <w:r w:rsidRPr="00EE3E70">
        <w:rPr>
          <w:rFonts w:ascii="Times New Roman" w:hAnsi="Times New Roman" w:cs="Times New Roman"/>
          <w:sz w:val="28"/>
          <w:szCs w:val="28"/>
        </w:rPr>
        <w:t>%.</w:t>
      </w:r>
      <w:r w:rsidR="00394D43">
        <w:rPr>
          <w:rFonts w:ascii="Times New Roman" w:hAnsi="Times New Roman" w:cs="Times New Roman"/>
          <w:sz w:val="28"/>
          <w:szCs w:val="28"/>
        </w:rPr>
        <w:t xml:space="preserve"> </w:t>
      </w:r>
      <w:r w:rsidRPr="00EE3E70">
        <w:rPr>
          <w:rFonts w:ascii="Times New Roman" w:hAnsi="Times New Roman" w:cs="Times New Roman"/>
          <w:sz w:val="28"/>
          <w:szCs w:val="28"/>
        </w:rPr>
        <w:t>Наибольший объем расходов местных бюджетов составляют расходы по</w:t>
      </w:r>
      <w:r w:rsidR="00EE3E70">
        <w:rPr>
          <w:rFonts w:ascii="Times New Roman" w:hAnsi="Times New Roman" w:cs="Times New Roman"/>
          <w:sz w:val="28"/>
          <w:szCs w:val="28"/>
        </w:rPr>
        <w:t xml:space="preserve"> </w:t>
      </w:r>
      <w:r w:rsidRPr="00EE3E70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Pr="00394D43">
        <w:rPr>
          <w:rFonts w:ascii="Times New Roman" w:hAnsi="Times New Roman" w:cs="Times New Roman"/>
          <w:b/>
          <w:sz w:val="28"/>
          <w:szCs w:val="28"/>
        </w:rPr>
        <w:t>«Образование»</w:t>
      </w:r>
      <w:r w:rsidRPr="00EE3E70">
        <w:rPr>
          <w:rFonts w:ascii="Times New Roman" w:hAnsi="Times New Roman" w:cs="Times New Roman"/>
          <w:sz w:val="28"/>
          <w:szCs w:val="28"/>
        </w:rPr>
        <w:t>: 2016 год - 40 439 138,8 тыс</w:t>
      </w:r>
      <w:proofErr w:type="gramEnd"/>
      <w:r w:rsidRPr="00EE3E70">
        <w:rPr>
          <w:rFonts w:ascii="Times New Roman" w:hAnsi="Times New Roman" w:cs="Times New Roman"/>
          <w:sz w:val="28"/>
          <w:szCs w:val="28"/>
        </w:rPr>
        <w:t>. рублей; 2017 год - 44 155 172,3</w:t>
      </w:r>
      <w:r w:rsidR="00EE3E70">
        <w:rPr>
          <w:rFonts w:ascii="Times New Roman" w:hAnsi="Times New Roman" w:cs="Times New Roman"/>
          <w:sz w:val="28"/>
          <w:szCs w:val="28"/>
        </w:rPr>
        <w:t xml:space="preserve"> </w:t>
      </w:r>
      <w:r w:rsidRPr="00EE3E70">
        <w:rPr>
          <w:rFonts w:ascii="Times New Roman" w:hAnsi="Times New Roman" w:cs="Times New Roman"/>
          <w:sz w:val="28"/>
          <w:szCs w:val="28"/>
        </w:rPr>
        <w:t>тыс. рублей, увеличение в 2017 году по сравнению с прошлым периодом составило</w:t>
      </w:r>
      <w:r w:rsidR="00EE3E70">
        <w:rPr>
          <w:rFonts w:ascii="Times New Roman" w:hAnsi="Times New Roman" w:cs="Times New Roman"/>
          <w:sz w:val="28"/>
          <w:szCs w:val="28"/>
        </w:rPr>
        <w:t xml:space="preserve"> </w:t>
      </w:r>
      <w:r w:rsidRPr="00EE3E70">
        <w:rPr>
          <w:rFonts w:ascii="Times New Roman" w:hAnsi="Times New Roman" w:cs="Times New Roman"/>
          <w:sz w:val="28"/>
          <w:szCs w:val="28"/>
        </w:rPr>
        <w:t>3 516 033,5 тыс. рублей, или 8,7</w:t>
      </w:r>
      <w:r w:rsidR="00EE3E70">
        <w:rPr>
          <w:rFonts w:ascii="Times New Roman" w:hAnsi="Times New Roman" w:cs="Times New Roman"/>
          <w:sz w:val="28"/>
          <w:szCs w:val="28"/>
        </w:rPr>
        <w:t xml:space="preserve"> </w:t>
      </w:r>
      <w:r w:rsidRPr="00EE3E70">
        <w:rPr>
          <w:rFonts w:ascii="Times New Roman" w:hAnsi="Times New Roman" w:cs="Times New Roman"/>
          <w:sz w:val="28"/>
          <w:szCs w:val="28"/>
        </w:rPr>
        <w:t>%.</w:t>
      </w:r>
      <w:r w:rsidR="00EE3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190" w:rsidRPr="00EE3E70" w:rsidRDefault="00837190" w:rsidP="00394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E70">
        <w:rPr>
          <w:rFonts w:ascii="Times New Roman" w:hAnsi="Times New Roman" w:cs="Times New Roman"/>
          <w:sz w:val="28"/>
          <w:szCs w:val="28"/>
        </w:rPr>
        <w:t>Практически по всем разделам бюджетной классификации расходов в 2017</w:t>
      </w:r>
      <w:r w:rsidR="00EE3E70">
        <w:rPr>
          <w:rFonts w:ascii="Times New Roman" w:hAnsi="Times New Roman" w:cs="Times New Roman"/>
          <w:sz w:val="28"/>
          <w:szCs w:val="28"/>
        </w:rPr>
        <w:t xml:space="preserve"> </w:t>
      </w:r>
      <w:r w:rsidRPr="00EE3E70">
        <w:rPr>
          <w:rFonts w:ascii="Times New Roman" w:hAnsi="Times New Roman" w:cs="Times New Roman"/>
          <w:sz w:val="28"/>
          <w:szCs w:val="28"/>
        </w:rPr>
        <w:t>году по сравнению с 2016 годом отмечается рост расходов, за исключением</w:t>
      </w:r>
      <w:r w:rsidR="00EE3E70">
        <w:rPr>
          <w:rFonts w:ascii="Times New Roman" w:hAnsi="Times New Roman" w:cs="Times New Roman"/>
          <w:sz w:val="28"/>
          <w:szCs w:val="28"/>
        </w:rPr>
        <w:t xml:space="preserve"> </w:t>
      </w:r>
      <w:r w:rsidRPr="00EE3E70">
        <w:rPr>
          <w:rFonts w:ascii="Times New Roman" w:hAnsi="Times New Roman" w:cs="Times New Roman"/>
          <w:sz w:val="28"/>
          <w:szCs w:val="28"/>
        </w:rPr>
        <w:t xml:space="preserve">расходов по разделу </w:t>
      </w:r>
      <w:r w:rsidRPr="00394D43">
        <w:rPr>
          <w:rFonts w:ascii="Times New Roman" w:hAnsi="Times New Roman" w:cs="Times New Roman"/>
          <w:b/>
          <w:sz w:val="28"/>
          <w:szCs w:val="28"/>
        </w:rPr>
        <w:t>«Охрана окружающей среды»</w:t>
      </w:r>
      <w:r w:rsidRPr="00EE3E70">
        <w:rPr>
          <w:rFonts w:ascii="Times New Roman" w:hAnsi="Times New Roman" w:cs="Times New Roman"/>
          <w:sz w:val="28"/>
          <w:szCs w:val="28"/>
        </w:rPr>
        <w:t xml:space="preserve"> (снижение на 40,9</w:t>
      </w:r>
      <w:r w:rsidR="00EE3E70">
        <w:rPr>
          <w:rFonts w:ascii="Times New Roman" w:hAnsi="Times New Roman" w:cs="Times New Roman"/>
          <w:sz w:val="28"/>
          <w:szCs w:val="28"/>
        </w:rPr>
        <w:t xml:space="preserve"> </w:t>
      </w:r>
      <w:r w:rsidRPr="00EE3E70">
        <w:rPr>
          <w:rFonts w:ascii="Times New Roman" w:hAnsi="Times New Roman" w:cs="Times New Roman"/>
          <w:sz w:val="28"/>
          <w:szCs w:val="28"/>
        </w:rPr>
        <w:t>%) и</w:t>
      </w:r>
      <w:r w:rsidR="00EE3E70"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 w:rsidRPr="00EE3E70">
        <w:rPr>
          <w:rFonts w:ascii="Times New Roman" w:hAnsi="Times New Roman" w:cs="Times New Roman"/>
          <w:sz w:val="28"/>
          <w:szCs w:val="28"/>
        </w:rPr>
        <w:t xml:space="preserve"> (сокращение на 3,5%).</w:t>
      </w:r>
    </w:p>
    <w:p w:rsidR="00394D43" w:rsidRDefault="00837190" w:rsidP="00394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E70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 w:rsidRPr="00394D43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Pr="00EE3E70">
        <w:rPr>
          <w:rFonts w:ascii="Times New Roman" w:hAnsi="Times New Roman" w:cs="Times New Roman"/>
          <w:sz w:val="28"/>
          <w:szCs w:val="28"/>
        </w:rPr>
        <w:t xml:space="preserve"> исполнены на 01.01.2018 на</w:t>
      </w:r>
      <w:r w:rsidR="00EE3E70">
        <w:rPr>
          <w:rFonts w:ascii="Times New Roman" w:hAnsi="Times New Roman" w:cs="Times New Roman"/>
          <w:sz w:val="28"/>
          <w:szCs w:val="28"/>
        </w:rPr>
        <w:t xml:space="preserve"> </w:t>
      </w:r>
      <w:r w:rsidRPr="00EE3E70">
        <w:rPr>
          <w:rFonts w:ascii="Times New Roman" w:hAnsi="Times New Roman" w:cs="Times New Roman"/>
          <w:sz w:val="28"/>
          <w:szCs w:val="28"/>
        </w:rPr>
        <w:t>сумму 1 422 963,7 тыс. рублей, что на 394 944,6 тыс. рублей больше по сравнению с</w:t>
      </w:r>
      <w:r w:rsidR="00EE3E70">
        <w:rPr>
          <w:rFonts w:ascii="Times New Roman" w:hAnsi="Times New Roman" w:cs="Times New Roman"/>
          <w:sz w:val="28"/>
          <w:szCs w:val="28"/>
        </w:rPr>
        <w:t xml:space="preserve"> </w:t>
      </w:r>
      <w:r w:rsidRPr="00EE3E70">
        <w:rPr>
          <w:rFonts w:ascii="Times New Roman" w:hAnsi="Times New Roman" w:cs="Times New Roman"/>
          <w:sz w:val="28"/>
          <w:szCs w:val="28"/>
        </w:rPr>
        <w:t>2016 годом.</w:t>
      </w:r>
    </w:p>
    <w:p w:rsidR="00394D43" w:rsidRDefault="00EE3E70" w:rsidP="00394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90" w:rsidRPr="00EE3E7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837190" w:rsidRPr="00394D43">
        <w:rPr>
          <w:rFonts w:ascii="Times New Roman" w:hAnsi="Times New Roman" w:cs="Times New Roman"/>
          <w:b/>
          <w:sz w:val="28"/>
          <w:szCs w:val="28"/>
        </w:rPr>
        <w:t>«жилищно-коммунального хозяйства»</w:t>
      </w:r>
      <w:r w:rsidR="00837190" w:rsidRPr="00EE3E70">
        <w:rPr>
          <w:rFonts w:ascii="Times New Roman" w:hAnsi="Times New Roman" w:cs="Times New Roman"/>
          <w:sz w:val="28"/>
          <w:szCs w:val="28"/>
        </w:rPr>
        <w:t xml:space="preserve"> на 01.01.2018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90" w:rsidRPr="00EE3E70">
        <w:rPr>
          <w:rFonts w:ascii="Times New Roman" w:hAnsi="Times New Roman" w:cs="Times New Roman"/>
          <w:sz w:val="28"/>
          <w:szCs w:val="28"/>
        </w:rPr>
        <w:t>10 929 445,2 тыс. рублей, что больше расходов 2016 года на сумму 1 823 375,9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90" w:rsidRPr="00EE3E70">
        <w:rPr>
          <w:rFonts w:ascii="Times New Roman" w:hAnsi="Times New Roman" w:cs="Times New Roman"/>
          <w:sz w:val="28"/>
          <w:szCs w:val="28"/>
        </w:rPr>
        <w:t>рублей (на 20,0</w:t>
      </w:r>
      <w:r w:rsidR="00394D43">
        <w:rPr>
          <w:rFonts w:ascii="Times New Roman" w:hAnsi="Times New Roman" w:cs="Times New Roman"/>
          <w:sz w:val="28"/>
          <w:szCs w:val="28"/>
        </w:rPr>
        <w:t xml:space="preserve"> </w:t>
      </w:r>
      <w:r w:rsidR="00837190" w:rsidRPr="00EE3E70"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90" w:rsidRPr="00EE3E70">
        <w:rPr>
          <w:rFonts w:ascii="Times New Roman" w:hAnsi="Times New Roman" w:cs="Times New Roman"/>
          <w:sz w:val="28"/>
          <w:szCs w:val="28"/>
        </w:rPr>
        <w:t>Отмечен рост расходов в 2017 году по сравнению с показателями 2016 года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90" w:rsidRPr="00EE3E70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837190" w:rsidRPr="00394D43">
        <w:rPr>
          <w:rFonts w:ascii="Times New Roman" w:hAnsi="Times New Roman" w:cs="Times New Roman"/>
          <w:b/>
          <w:sz w:val="28"/>
          <w:szCs w:val="28"/>
        </w:rPr>
        <w:t>«Национальная безопасность и правоохранительная деятельность»</w:t>
      </w:r>
      <w:r w:rsidR="00837190" w:rsidRPr="00EE3E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90" w:rsidRPr="00EE3E70">
        <w:rPr>
          <w:rFonts w:ascii="Times New Roman" w:hAnsi="Times New Roman" w:cs="Times New Roman"/>
          <w:sz w:val="28"/>
          <w:szCs w:val="28"/>
        </w:rPr>
        <w:t>увеличение на 18,0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90" w:rsidRPr="00EE3E70">
        <w:rPr>
          <w:rFonts w:ascii="Times New Roman" w:hAnsi="Times New Roman" w:cs="Times New Roman"/>
          <w:sz w:val="28"/>
          <w:szCs w:val="28"/>
        </w:rPr>
        <w:t>% (на сумму 63 768,6 тыс. рублей).</w:t>
      </w:r>
    </w:p>
    <w:p w:rsidR="00394D43" w:rsidRDefault="00EE3E70" w:rsidP="00394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90" w:rsidRPr="00EE3E70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разделу </w:t>
      </w:r>
      <w:r w:rsidR="00837190" w:rsidRPr="00394D43">
        <w:rPr>
          <w:rFonts w:ascii="Times New Roman" w:hAnsi="Times New Roman" w:cs="Times New Roman"/>
          <w:b/>
          <w:sz w:val="28"/>
          <w:szCs w:val="28"/>
        </w:rPr>
        <w:t>«Общегосударственные вопросы</w:t>
      </w:r>
      <w:r w:rsidR="00394D43">
        <w:rPr>
          <w:rFonts w:ascii="Times New Roman" w:hAnsi="Times New Roman" w:cs="Times New Roman"/>
          <w:b/>
          <w:sz w:val="28"/>
          <w:szCs w:val="28"/>
        </w:rPr>
        <w:t>»</w:t>
      </w:r>
      <w:r w:rsidRPr="00394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190" w:rsidRPr="00EE3E70">
        <w:rPr>
          <w:rFonts w:ascii="Times New Roman" w:hAnsi="Times New Roman" w:cs="Times New Roman"/>
          <w:sz w:val="28"/>
          <w:szCs w:val="28"/>
        </w:rPr>
        <w:t>исполнены по состоянию на 01.01.2018 в сумме 7 930 509,0 тыс. рублей, что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90" w:rsidRPr="00EE3E70">
        <w:rPr>
          <w:rFonts w:ascii="Times New Roman" w:hAnsi="Times New Roman" w:cs="Times New Roman"/>
          <w:sz w:val="28"/>
          <w:szCs w:val="28"/>
        </w:rPr>
        <w:t>429 855,6 тыс. рублей (на 5,7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190" w:rsidRPr="00EE3E70">
        <w:rPr>
          <w:rFonts w:ascii="Times New Roman" w:hAnsi="Times New Roman" w:cs="Times New Roman"/>
          <w:sz w:val="28"/>
          <w:szCs w:val="28"/>
        </w:rPr>
        <w:t>%) больше исполнения по расходам за 2016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190" w:rsidRDefault="00837190" w:rsidP="00394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E70">
        <w:rPr>
          <w:rFonts w:ascii="Times New Roman" w:hAnsi="Times New Roman" w:cs="Times New Roman"/>
          <w:sz w:val="28"/>
          <w:szCs w:val="28"/>
        </w:rPr>
        <w:t>Расходы на содержание органов местного самоуправления последние три года</w:t>
      </w:r>
      <w:r w:rsidR="00EE3E70">
        <w:rPr>
          <w:rFonts w:ascii="Times New Roman" w:hAnsi="Times New Roman" w:cs="Times New Roman"/>
          <w:sz w:val="28"/>
          <w:szCs w:val="28"/>
        </w:rPr>
        <w:t xml:space="preserve"> </w:t>
      </w:r>
      <w:r w:rsidRPr="00EE3E70">
        <w:rPr>
          <w:rFonts w:ascii="Times New Roman" w:hAnsi="Times New Roman" w:cs="Times New Roman"/>
          <w:sz w:val="28"/>
          <w:szCs w:val="28"/>
        </w:rPr>
        <w:t>сохраняются примерно на одном и том же уровне: за 2015 год - 10 136 292 тыс.</w:t>
      </w:r>
      <w:r w:rsidR="00EE3E70">
        <w:rPr>
          <w:rFonts w:ascii="Times New Roman" w:hAnsi="Times New Roman" w:cs="Times New Roman"/>
          <w:sz w:val="28"/>
          <w:szCs w:val="28"/>
        </w:rPr>
        <w:t xml:space="preserve"> </w:t>
      </w:r>
      <w:r w:rsidRPr="00EE3E70">
        <w:rPr>
          <w:rFonts w:ascii="Times New Roman" w:hAnsi="Times New Roman" w:cs="Times New Roman"/>
          <w:sz w:val="28"/>
          <w:szCs w:val="28"/>
        </w:rPr>
        <w:t>рублей, за 2016 год - 9 977 109 тыс. рублей, в 2017 год - 10 005 857 тыс. рублей.</w:t>
      </w:r>
      <w:r w:rsidR="00EE3E70">
        <w:rPr>
          <w:rFonts w:ascii="Times New Roman" w:hAnsi="Times New Roman" w:cs="Times New Roman"/>
          <w:sz w:val="28"/>
          <w:szCs w:val="28"/>
        </w:rPr>
        <w:t xml:space="preserve"> </w:t>
      </w:r>
      <w:r w:rsidRPr="00EE3E70">
        <w:rPr>
          <w:rFonts w:ascii="Times New Roman" w:hAnsi="Times New Roman" w:cs="Times New Roman"/>
          <w:sz w:val="28"/>
          <w:szCs w:val="28"/>
        </w:rPr>
        <w:t>Общий объем просроченной кредиторской задолженности местных</w:t>
      </w:r>
      <w:r w:rsidR="00EE3E70">
        <w:rPr>
          <w:rFonts w:ascii="Times New Roman" w:hAnsi="Times New Roman" w:cs="Times New Roman"/>
          <w:sz w:val="28"/>
          <w:szCs w:val="28"/>
        </w:rPr>
        <w:t xml:space="preserve"> </w:t>
      </w:r>
      <w:r w:rsidRPr="00EE3E70">
        <w:rPr>
          <w:rFonts w:ascii="Times New Roman" w:hAnsi="Times New Roman" w:cs="Times New Roman"/>
          <w:sz w:val="28"/>
          <w:szCs w:val="28"/>
        </w:rPr>
        <w:t>бюджетов составлял 1 141 560 тыс. рублей в 2015 году, 804 701 тыс. рублей - в 2016</w:t>
      </w:r>
      <w:r w:rsidR="00EE3E70">
        <w:rPr>
          <w:rFonts w:ascii="Times New Roman" w:hAnsi="Times New Roman" w:cs="Times New Roman"/>
          <w:sz w:val="28"/>
          <w:szCs w:val="28"/>
        </w:rPr>
        <w:t xml:space="preserve"> </w:t>
      </w:r>
      <w:r w:rsidRPr="00EE3E70">
        <w:rPr>
          <w:rFonts w:ascii="Times New Roman" w:hAnsi="Times New Roman" w:cs="Times New Roman"/>
          <w:sz w:val="28"/>
          <w:szCs w:val="28"/>
        </w:rPr>
        <w:t>году, 283 747 тыс. рублей - в 2017 году.</w:t>
      </w:r>
      <w:r w:rsidR="00EE3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D43" w:rsidRDefault="00394D43" w:rsidP="00394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D43" w:rsidRDefault="00394D43" w:rsidP="00920F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 xml:space="preserve">В течение анализируемого периода КСП области проведена </w:t>
      </w:r>
      <w:r w:rsidRPr="00920FE7">
        <w:rPr>
          <w:rFonts w:ascii="Times New Roman" w:hAnsi="Times New Roman" w:cs="Times New Roman"/>
          <w:b/>
          <w:sz w:val="28"/>
          <w:szCs w:val="28"/>
        </w:rPr>
        <w:t xml:space="preserve">оценка сбалансированности бюджетов сельских поселений </w:t>
      </w:r>
      <w:r w:rsidRPr="00394D43">
        <w:rPr>
          <w:rFonts w:ascii="Times New Roman" w:hAnsi="Times New Roman" w:cs="Times New Roman"/>
          <w:sz w:val="28"/>
          <w:szCs w:val="28"/>
        </w:rPr>
        <w:t>в связи с закреплением за</w:t>
      </w:r>
      <w:r w:rsidR="00920FE7"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муниципальными образованиями вопросов местного значения Законом Иркутской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области от 03.11.2016 № 96-03 «О закреплении за сельскими поселениями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Иркутской области вопросов местного значения».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D43" w:rsidRDefault="00394D43" w:rsidP="00394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В силу требований БК РФ о необходимости соблюдения предельного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дефицита бюджета (от 5 до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%) бюджеты сельских поселений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на 2017 год, в основном, являются сбалансированными.</w:t>
      </w:r>
    </w:p>
    <w:p w:rsidR="00394D43" w:rsidRDefault="00394D43" w:rsidP="00394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4D43">
        <w:rPr>
          <w:rFonts w:ascii="Times New Roman" w:hAnsi="Times New Roman" w:cs="Times New Roman"/>
          <w:sz w:val="28"/>
          <w:szCs w:val="28"/>
        </w:rPr>
        <w:t>Однако, как показало экспертно-аналитическое мероприятие,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 xml:space="preserve">высокой </w:t>
      </w:r>
      <w:proofErr w:type="spellStart"/>
      <w:r w:rsidRPr="00394D43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394D43">
        <w:rPr>
          <w:rFonts w:ascii="Times New Roman" w:hAnsi="Times New Roman" w:cs="Times New Roman"/>
          <w:sz w:val="28"/>
          <w:szCs w:val="28"/>
        </w:rPr>
        <w:t xml:space="preserve"> бюджетов сельских поселений (доля налоговых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неналоговых доходов, в среднем составляет 34,3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%) открытым является вопрос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 xml:space="preserve">финансовом обеспечении дополнительных закрепленных </w:t>
      </w:r>
      <w:r w:rsidRPr="00394D43">
        <w:rPr>
          <w:rFonts w:ascii="Times New Roman" w:hAnsi="Times New Roman" w:cs="Times New Roman"/>
          <w:sz w:val="28"/>
          <w:szCs w:val="28"/>
        </w:rPr>
        <w:lastRenderedPageBreak/>
        <w:t>Законом № 96-03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вопросов.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Так, по оценке ОМС сельских поселений, дополнительная потребность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 xml:space="preserve">составляет порядка 1 </w:t>
      </w:r>
      <w:proofErr w:type="gramStart"/>
      <w:r w:rsidRPr="00394D4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394D4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94D43" w:rsidRDefault="00394D43" w:rsidP="00394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Безусловно, данный показатель требует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дополнительного анализа и оценки с учетом принятых расходных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В целом, при сокращении доходной части местных бюджетов за последние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года, расходы местных бюджетов имеют тенденцию к увеличению.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По мнению КСП, учитывая низкую финансовую самостоятельность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сельских поселений и существенную долю расходов на содержание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местного самоуправления (около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% всех расходов бюджета), необходимо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меры по оптимизации расходов аппарата управления, исключения необоснованных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и неэффективных расходов.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D43" w:rsidRDefault="00394D43" w:rsidP="00394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43">
        <w:rPr>
          <w:rFonts w:ascii="Times New Roman" w:hAnsi="Times New Roman" w:cs="Times New Roman"/>
          <w:sz w:val="28"/>
          <w:szCs w:val="28"/>
        </w:rPr>
        <w:t>Установлено, что в 78 (или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%) сельских поселениях численность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составляет менее 500 человек в каждом. Вопрос укрупнения таких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требует проработки и принятия взвешенного решения. Между тем, по мнению КСП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области, объединение таких муниципальных образований в большинстве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скорее всего не приведен к повышению финансовой самостоятельности 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поселений (уменьшение их зависимости от финансовой помощи).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Одним из основных преимуществ такого объединения может являться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сокращение расходов на аппарат управления (ежегодная экономия малочисленных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сельских поселений (21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% или пятая часть поселений) может составлять от 300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 xml:space="preserve">рублей до 1,5 </w:t>
      </w:r>
      <w:proofErr w:type="gramStart"/>
      <w:r w:rsidRPr="00394D4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94D43">
        <w:rPr>
          <w:rFonts w:ascii="Times New Roman" w:hAnsi="Times New Roman" w:cs="Times New Roman"/>
          <w:sz w:val="28"/>
          <w:szCs w:val="28"/>
        </w:rPr>
        <w:t xml:space="preserve"> рублей). В среднем расходы на содержание аппарата 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D43">
        <w:rPr>
          <w:rFonts w:ascii="Times New Roman" w:hAnsi="Times New Roman" w:cs="Times New Roman"/>
          <w:sz w:val="28"/>
          <w:szCs w:val="28"/>
        </w:rPr>
        <w:t>4 300 тыс. рублей (от 265,0 тыс. рублей до 42 200,0 тыс. рублей в год).</w:t>
      </w:r>
    </w:p>
    <w:p w:rsidR="00394D43" w:rsidRDefault="00394D43" w:rsidP="00394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41B" w:rsidRDefault="0059441B" w:rsidP="005944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0"/>
          <w:u w:val="single"/>
        </w:rPr>
      </w:pPr>
      <w:r w:rsidRPr="0059441B">
        <w:rPr>
          <w:rFonts w:ascii="TimesNewRomanPS-BoldMT" w:hAnsi="TimesNewRomanPS-BoldMT" w:cs="TimesNewRomanPS-BoldMT"/>
          <w:b/>
          <w:bCs/>
          <w:sz w:val="28"/>
          <w:szCs w:val="20"/>
          <w:u w:val="single"/>
        </w:rPr>
        <w:t>Основные выводы:</w:t>
      </w:r>
    </w:p>
    <w:p w:rsidR="0059441B" w:rsidRPr="0059441B" w:rsidRDefault="0059441B" w:rsidP="0059441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0"/>
          <w:u w:val="single"/>
        </w:rPr>
      </w:pPr>
    </w:p>
    <w:p w:rsidR="0059441B" w:rsidRDefault="0059441B" w:rsidP="0059441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41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59441B">
        <w:rPr>
          <w:rFonts w:ascii="Times New Roman" w:hAnsi="Times New Roman" w:cs="Times New Roman"/>
          <w:sz w:val="28"/>
          <w:szCs w:val="28"/>
        </w:rPr>
        <w:t>Анализ исполнения местных бюджетов за 2016-2017 годы, в целом,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 xml:space="preserve">свидетельствует о положительной динамике. </w:t>
      </w:r>
      <w:proofErr w:type="gramStart"/>
      <w:r w:rsidRPr="0059441B">
        <w:rPr>
          <w:rFonts w:ascii="Times New Roman" w:hAnsi="Times New Roman" w:cs="Times New Roman"/>
          <w:sz w:val="28"/>
          <w:szCs w:val="28"/>
        </w:rPr>
        <w:t xml:space="preserve">За 2017 годы </w:t>
      </w:r>
      <w:r w:rsidRPr="0059441B">
        <w:rPr>
          <w:rFonts w:ascii="Times New Roman" w:hAnsi="Times New Roman" w:cs="Times New Roman"/>
          <w:b/>
          <w:sz w:val="28"/>
          <w:szCs w:val="28"/>
        </w:rPr>
        <w:t>доходы местных бюджетов</w:t>
      </w:r>
      <w:r w:rsidRPr="0059441B">
        <w:rPr>
          <w:rFonts w:ascii="Times New Roman" w:hAnsi="Times New Roman" w:cs="Times New Roman"/>
          <w:sz w:val="28"/>
          <w:szCs w:val="28"/>
        </w:rPr>
        <w:t xml:space="preserve"> поступили в сумме 82 217 281,9 тыс. рублей, что выше показателей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года в абсолютных величинах на сумму 10 767 555,3 тыс. рублей, относительных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15,1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 xml:space="preserve">%. </w:t>
      </w:r>
      <w:r w:rsidRPr="0059441B">
        <w:rPr>
          <w:rFonts w:ascii="Times New Roman" w:hAnsi="Times New Roman" w:cs="Times New Roman"/>
          <w:b/>
          <w:sz w:val="28"/>
          <w:szCs w:val="28"/>
        </w:rPr>
        <w:t>Расходы местных бюджетов</w:t>
      </w:r>
      <w:r w:rsidRPr="0059441B">
        <w:rPr>
          <w:rFonts w:ascii="Times New Roman" w:hAnsi="Times New Roman" w:cs="Times New Roman"/>
          <w:sz w:val="28"/>
          <w:szCs w:val="28"/>
        </w:rPr>
        <w:t xml:space="preserve"> за 2017 год составили 82 928 596,8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что превысило уровень 2016 года на сумму 10 496 722,8 тыс. рублей, или на 14,5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41B">
        <w:rPr>
          <w:rFonts w:ascii="Times New Roman" w:hAnsi="Times New Roman" w:cs="Times New Roman"/>
          <w:sz w:val="28"/>
          <w:szCs w:val="28"/>
        </w:rPr>
        <w:t xml:space="preserve"> 2017 году размер дефицита снижен по сравнению с аналогичным периодом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года на сумму 270 832,5 тыс. рублей.</w:t>
      </w:r>
    </w:p>
    <w:p w:rsidR="0059441B" w:rsidRDefault="0059441B" w:rsidP="0059441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41B">
        <w:rPr>
          <w:rFonts w:ascii="Times New Roman" w:hAnsi="Times New Roman" w:cs="Times New Roman"/>
          <w:b/>
          <w:sz w:val="28"/>
          <w:szCs w:val="28"/>
        </w:rPr>
        <w:t>2</w:t>
      </w:r>
      <w:r w:rsidRPr="005944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441B">
        <w:rPr>
          <w:rFonts w:ascii="Times New Roman" w:hAnsi="Times New Roman" w:cs="Times New Roman"/>
          <w:sz w:val="28"/>
          <w:szCs w:val="28"/>
        </w:rPr>
        <w:t xml:space="preserve">За исследуемый период наблюдается </w:t>
      </w:r>
      <w:r w:rsidRPr="0059441B">
        <w:rPr>
          <w:rFonts w:ascii="Times New Roman" w:hAnsi="Times New Roman" w:cs="Times New Roman"/>
          <w:b/>
          <w:sz w:val="28"/>
          <w:szCs w:val="28"/>
        </w:rPr>
        <w:t>прирост налоговых и неналоговых доходов</w:t>
      </w:r>
      <w:r w:rsidRPr="0059441B">
        <w:rPr>
          <w:rFonts w:ascii="Times New Roman" w:hAnsi="Times New Roman" w:cs="Times New Roman"/>
          <w:sz w:val="28"/>
          <w:szCs w:val="28"/>
        </w:rPr>
        <w:t xml:space="preserve"> в общей сумме на 2 518 408,3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9441B">
        <w:rPr>
          <w:rFonts w:ascii="Times New Roman" w:hAnsi="Times New Roman" w:cs="Times New Roman"/>
          <w:sz w:val="28"/>
          <w:szCs w:val="28"/>
        </w:rPr>
        <w:t xml:space="preserve"> 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Увеличение поступлений налоговых доходов, в первую очередь, обусловлено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повышением собираемости налога на доходы физических лиц, который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состоянию на 01.01.2018 составил 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441B">
        <w:rPr>
          <w:rFonts w:ascii="Times New Roman" w:hAnsi="Times New Roman" w:cs="Times New Roman"/>
          <w:sz w:val="28"/>
          <w:szCs w:val="28"/>
        </w:rPr>
        <w:t>889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771,9 тыс. рублей и превысил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2016 года на сумму 914 711,9 тыс. рублей (на 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%).</w:t>
      </w:r>
      <w:proofErr w:type="gramEnd"/>
      <w:r w:rsidRPr="0059441B">
        <w:rPr>
          <w:rFonts w:ascii="Times New Roman" w:hAnsi="Times New Roman" w:cs="Times New Roman"/>
          <w:sz w:val="28"/>
          <w:szCs w:val="28"/>
        </w:rPr>
        <w:t xml:space="preserve"> Налоги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физических лиц поступили за 2017 год 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441B">
        <w:rPr>
          <w:rFonts w:ascii="Times New Roman" w:hAnsi="Times New Roman" w:cs="Times New Roman"/>
          <w:sz w:val="28"/>
          <w:szCs w:val="28"/>
        </w:rPr>
        <w:t>921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934,6 тыс. рублей и превысили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показатели 2016 года на сумму 460 977,1 тыс. рублей, или 13,3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%.</w:t>
      </w:r>
    </w:p>
    <w:p w:rsidR="0059441B" w:rsidRDefault="0059441B" w:rsidP="0059441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41B">
        <w:rPr>
          <w:rFonts w:ascii="Times New Roman" w:hAnsi="Times New Roman" w:cs="Times New Roman"/>
          <w:b/>
          <w:sz w:val="28"/>
          <w:szCs w:val="28"/>
        </w:rPr>
        <w:t>3</w:t>
      </w:r>
      <w:r w:rsidRPr="0059441B">
        <w:rPr>
          <w:rFonts w:ascii="Times New Roman" w:hAnsi="Times New Roman" w:cs="Times New Roman"/>
          <w:sz w:val="28"/>
          <w:szCs w:val="28"/>
        </w:rPr>
        <w:t xml:space="preserve">. В 2017 году в местные бюджеты дополнительно поступили </w:t>
      </w:r>
      <w:r w:rsidRPr="0059441B">
        <w:rPr>
          <w:rFonts w:ascii="Times New Roman" w:hAnsi="Times New Roman" w:cs="Times New Roman"/>
          <w:b/>
          <w:sz w:val="28"/>
          <w:szCs w:val="28"/>
        </w:rPr>
        <w:t xml:space="preserve">налоги, в связи с применением упрощенной системы налогообложения </w:t>
      </w:r>
      <w:r w:rsidRPr="0059441B">
        <w:rPr>
          <w:rFonts w:ascii="Times New Roman" w:hAnsi="Times New Roman" w:cs="Times New Roman"/>
          <w:sz w:val="28"/>
          <w:szCs w:val="28"/>
        </w:rPr>
        <w:t xml:space="preserve">в сумме 1 </w:t>
      </w:r>
      <w:r w:rsidRPr="0059441B">
        <w:rPr>
          <w:rFonts w:ascii="Times New Roman" w:hAnsi="Times New Roman" w:cs="Times New Roman"/>
          <w:sz w:val="28"/>
          <w:szCs w:val="28"/>
        </w:rPr>
        <w:lastRenderedPageBreak/>
        <w:t>529 314,9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 xml:space="preserve">рублей. </w:t>
      </w:r>
      <w:proofErr w:type="gramStart"/>
      <w:r w:rsidRPr="0059441B">
        <w:rPr>
          <w:rFonts w:ascii="Times New Roman" w:hAnsi="Times New Roman" w:cs="Times New Roman"/>
          <w:sz w:val="28"/>
          <w:szCs w:val="28"/>
        </w:rPr>
        <w:t>Законом Иркутской области от 22.10.2013 № 74-03 «О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трансфертах и нормативах отчислений доходов в местные бюджеты» с 01.01.2017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установлены нормативы отчислений в бюджеты городских округов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муниципальных районов от налога, взимаемого в связи с применением упрощенной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системы налогообложения, - 30 процентов от объема доходов по данному виду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налога, подлежащего зачислению с территории соответствующего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округа в консолидированный бюджет Иркутской области.</w:t>
      </w:r>
      <w:proofErr w:type="gramEnd"/>
    </w:p>
    <w:p w:rsidR="0059441B" w:rsidRDefault="0059441B" w:rsidP="0059441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41B">
        <w:rPr>
          <w:rFonts w:ascii="Times New Roman" w:hAnsi="Times New Roman" w:cs="Times New Roman"/>
          <w:b/>
          <w:sz w:val="28"/>
          <w:szCs w:val="28"/>
        </w:rPr>
        <w:t>4.</w:t>
      </w:r>
      <w:r w:rsidRPr="0059441B">
        <w:rPr>
          <w:rFonts w:ascii="Times New Roman" w:hAnsi="Times New Roman" w:cs="Times New Roman"/>
          <w:sz w:val="28"/>
          <w:szCs w:val="28"/>
        </w:rPr>
        <w:t xml:space="preserve"> Безвозмездные поступления от бюджетов других уровней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системы РФ по состоянию на 01.01.2018 исполнены в сумме 54 372 506,7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рублей, что выше уровня 2016 года на 10 550 015,9 тыс. рублей.</w:t>
      </w:r>
    </w:p>
    <w:p w:rsidR="0059441B" w:rsidRDefault="0059441B" w:rsidP="005944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41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По результатам отдельных экспертно-аналитических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проводимых КСП области в течение 2017 года выявлены отдельные недостатки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41B">
        <w:rPr>
          <w:rFonts w:ascii="Times New Roman" w:hAnsi="Times New Roman" w:cs="Times New Roman"/>
          <w:sz w:val="28"/>
          <w:szCs w:val="28"/>
        </w:rPr>
        <w:t>методики определения объемов районных фондов финансовой 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поселений, которые в последующем устранены путем внесения изменений в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№ 74-03.</w:t>
      </w:r>
    </w:p>
    <w:p w:rsidR="0059441B" w:rsidRDefault="0059441B" w:rsidP="005944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41B">
        <w:rPr>
          <w:rFonts w:ascii="Times New Roman" w:hAnsi="Times New Roman" w:cs="Times New Roman"/>
          <w:b/>
          <w:sz w:val="28"/>
          <w:szCs w:val="28"/>
        </w:rPr>
        <w:t>6.</w:t>
      </w:r>
      <w:r w:rsidRPr="0059441B">
        <w:rPr>
          <w:rFonts w:ascii="Times New Roman" w:hAnsi="Times New Roman" w:cs="Times New Roman"/>
          <w:sz w:val="28"/>
          <w:szCs w:val="28"/>
        </w:rPr>
        <w:t xml:space="preserve"> Начиная с 2017 года, впервые законом об областном бюджете 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сроки распределения межбюджетных субсидий, которые в целом повлияли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своевременное и равномерное использование бюджетных сре</w:t>
      </w:r>
      <w:proofErr w:type="gramStart"/>
      <w:r w:rsidRPr="0059441B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59441B">
        <w:rPr>
          <w:rFonts w:ascii="Times New Roman" w:hAnsi="Times New Roman" w:cs="Times New Roman"/>
          <w:sz w:val="28"/>
          <w:szCs w:val="28"/>
        </w:rPr>
        <w:t>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текущего года (статья 16).</w:t>
      </w:r>
    </w:p>
    <w:p w:rsidR="0059441B" w:rsidRPr="00BB1AD6" w:rsidRDefault="0059441B" w:rsidP="005944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9441B">
        <w:rPr>
          <w:rFonts w:ascii="Times New Roman" w:hAnsi="Times New Roman" w:cs="Times New Roman"/>
          <w:sz w:val="28"/>
          <w:szCs w:val="28"/>
        </w:rPr>
        <w:t>Между тем, исполнение субсидий местным бюджетам, подпадающих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действие статьи 16 закона о бюджете, по состоянию на 01.10.2017 при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ассигнованиях 13 110 325,0 тыс. рублей составило 5 784 268,9 тыс. рублей, или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AD6">
        <w:rPr>
          <w:rFonts w:ascii="Times New Roman" w:hAnsi="Times New Roman" w:cs="Times New Roman"/>
          <w:i/>
          <w:sz w:val="28"/>
          <w:szCs w:val="28"/>
        </w:rPr>
        <w:t>Низкое исполнение, в основном, связано с наличием условий в соглашениях о предоставлении субсидий местным бюджетам, предусматривающих их перечисление поэтапно, по заявкам муниципалитетов (заявительный характер), в том</w:t>
      </w:r>
      <w:proofErr w:type="gramEnd"/>
      <w:r w:rsidRPr="00BB1A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B1AD6">
        <w:rPr>
          <w:rFonts w:ascii="Times New Roman" w:hAnsi="Times New Roman" w:cs="Times New Roman"/>
          <w:i/>
          <w:sz w:val="28"/>
          <w:szCs w:val="28"/>
        </w:rPr>
        <w:t>числе</w:t>
      </w:r>
      <w:proofErr w:type="gramEnd"/>
      <w:r w:rsidRPr="00BB1AD6">
        <w:rPr>
          <w:rFonts w:ascii="Times New Roman" w:hAnsi="Times New Roman" w:cs="Times New Roman"/>
          <w:i/>
          <w:sz w:val="28"/>
          <w:szCs w:val="28"/>
        </w:rPr>
        <w:t xml:space="preserve"> на основании подтверждающих документов о фактически выполненных работах (КС-2, КС-3).</w:t>
      </w:r>
    </w:p>
    <w:p w:rsidR="0059441B" w:rsidRPr="00BB1AD6" w:rsidRDefault="0059441B" w:rsidP="005944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41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9441B">
        <w:rPr>
          <w:rFonts w:ascii="Times New Roman" w:hAnsi="Times New Roman" w:cs="Times New Roman"/>
          <w:sz w:val="28"/>
          <w:szCs w:val="28"/>
        </w:rPr>
        <w:t>Особо обращает на себя внимание процедура длительной регламентной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нормы прохождения согласования проектов нормативных правовых актов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 xml:space="preserve">распределении субсидий. </w:t>
      </w:r>
      <w:r w:rsidRPr="00BB1AD6">
        <w:rPr>
          <w:rFonts w:ascii="Times New Roman" w:hAnsi="Times New Roman" w:cs="Times New Roman"/>
          <w:i/>
          <w:sz w:val="28"/>
          <w:szCs w:val="28"/>
        </w:rPr>
        <w:t>Наибольшее количество нарушений отмечено по министерству природных ресурсов и экологии Иркутской области, министерству культуры и архивов Иркутской области.</w:t>
      </w:r>
    </w:p>
    <w:p w:rsidR="0059441B" w:rsidRDefault="0059441B" w:rsidP="005944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AD6">
        <w:rPr>
          <w:rFonts w:ascii="Times New Roman" w:hAnsi="Times New Roman" w:cs="Times New Roman"/>
          <w:b/>
          <w:sz w:val="28"/>
          <w:szCs w:val="28"/>
        </w:rPr>
        <w:t>8.</w:t>
      </w:r>
      <w:r w:rsidRPr="0059441B">
        <w:rPr>
          <w:rFonts w:ascii="Times New Roman" w:hAnsi="Times New Roman" w:cs="Times New Roman"/>
          <w:sz w:val="28"/>
          <w:szCs w:val="28"/>
        </w:rPr>
        <w:t xml:space="preserve"> Расходы местных бюджетов по состоянию на 01.01.2018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82 928 596,8 тыс. рублей, что выше уровня 2016 года в абсолютном выражении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сумму 10 496 722,8 тыс. рублей, или 14,5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%. Наибольший объем расходов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бюджетов составляют расходы по разделу «Образование»: 2016 год - 40 439 138,8тыс. рублей; 2017 год - 44 155 172,3 тыс. рублей, увеличение в 2017 году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сравнению с прошлым периодом составило 3 516 033,5 тыс. рублей, или 8,7%.</w:t>
      </w:r>
    </w:p>
    <w:p w:rsidR="0059441B" w:rsidRDefault="0059441B" w:rsidP="005944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AD6">
        <w:rPr>
          <w:rFonts w:ascii="Times New Roman" w:hAnsi="Times New Roman" w:cs="Times New Roman"/>
          <w:b/>
          <w:sz w:val="28"/>
          <w:szCs w:val="28"/>
        </w:rPr>
        <w:t>9.</w:t>
      </w:r>
      <w:r w:rsidRPr="0059441B">
        <w:rPr>
          <w:rFonts w:ascii="Times New Roman" w:hAnsi="Times New Roman" w:cs="Times New Roman"/>
          <w:sz w:val="28"/>
          <w:szCs w:val="28"/>
        </w:rPr>
        <w:t xml:space="preserve"> Расходы на содержание органов местного самоуправления последние 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года сохраняются примерно на одном и том же уровне: за 2015 год - 10 136 292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рублей, за 2016 год - 9 977 109 тыс. рублей, в 2017 год -10 005 857 тыс. рублей.</w:t>
      </w:r>
    </w:p>
    <w:p w:rsidR="0059441B" w:rsidRDefault="0059441B" w:rsidP="005944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AD6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59441B">
        <w:rPr>
          <w:rFonts w:ascii="Times New Roman" w:hAnsi="Times New Roman" w:cs="Times New Roman"/>
          <w:sz w:val="28"/>
          <w:szCs w:val="28"/>
        </w:rPr>
        <w:t xml:space="preserve"> По состоянию на 01.01.2018 местные бюджеты исполнены с дефицитом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сумме 711 314,9 тыс. рублей, на 01.01.2017 - с дефицитов в сумме 982 147,3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рублей.</w:t>
      </w:r>
    </w:p>
    <w:p w:rsidR="0059441B" w:rsidRPr="0059441B" w:rsidRDefault="0059441B" w:rsidP="00BB1A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9441B">
        <w:rPr>
          <w:rFonts w:ascii="Times New Roman" w:hAnsi="Times New Roman" w:cs="Times New Roman"/>
          <w:sz w:val="28"/>
          <w:szCs w:val="28"/>
        </w:rPr>
        <w:t>. В целях покрытия дефицита местных бюджетов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муниципальным образованиям предоставлены бюджетные кредиты в 2016 году -693 812,8 тыс. рублей; в 2017 году - 398 260,2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Установлено, что задолженность муниципальных образований Иркутской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области по возврату бюджетных кредитов ежегодно увеличивается. Так,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состоянию на 01.01.2014 общий объем задолженности составил 907 079,0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41B">
        <w:rPr>
          <w:rFonts w:ascii="Times New Roman" w:hAnsi="Times New Roman" w:cs="Times New Roman"/>
          <w:sz w:val="28"/>
          <w:szCs w:val="28"/>
        </w:rPr>
        <w:t>рублей, на 01.01.2017 - 1 945 145,2 тыс. рублей, увеличение более</w:t>
      </w:r>
      <w:proofErr w:type="gramStart"/>
      <w:r w:rsidRPr="005944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441B">
        <w:rPr>
          <w:rFonts w:ascii="Times New Roman" w:hAnsi="Times New Roman" w:cs="Times New Roman"/>
          <w:sz w:val="28"/>
          <w:szCs w:val="28"/>
        </w:rPr>
        <w:t xml:space="preserve"> чем в 2 раза. </w:t>
      </w:r>
    </w:p>
    <w:sectPr w:rsidR="0059441B" w:rsidRPr="0059441B" w:rsidSect="00C87C80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A5" w:rsidRDefault="006259A5" w:rsidP="00CE5FE5">
      <w:pPr>
        <w:spacing w:after="0" w:line="240" w:lineRule="auto"/>
      </w:pPr>
      <w:r>
        <w:separator/>
      </w:r>
    </w:p>
  </w:endnote>
  <w:endnote w:type="continuationSeparator" w:id="0">
    <w:p w:rsidR="006259A5" w:rsidRDefault="006259A5" w:rsidP="00CE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A5" w:rsidRDefault="006259A5" w:rsidP="00CE5FE5">
      <w:pPr>
        <w:spacing w:after="0" w:line="240" w:lineRule="auto"/>
      </w:pPr>
      <w:r>
        <w:separator/>
      </w:r>
    </w:p>
  </w:footnote>
  <w:footnote w:type="continuationSeparator" w:id="0">
    <w:p w:rsidR="006259A5" w:rsidRDefault="006259A5" w:rsidP="00CE5FE5">
      <w:pPr>
        <w:spacing w:after="0" w:line="240" w:lineRule="auto"/>
      </w:pPr>
      <w:r>
        <w:continuationSeparator/>
      </w:r>
    </w:p>
  </w:footnote>
  <w:footnote w:id="1">
    <w:p w:rsidR="00837190" w:rsidRPr="00394D43" w:rsidRDefault="00837190" w:rsidP="00394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394D43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394D43">
        <w:rPr>
          <w:rFonts w:ascii="Times New Roman" w:hAnsi="Times New Roman" w:cs="Times New Roman"/>
          <w:sz w:val="24"/>
          <w:szCs w:val="24"/>
        </w:rPr>
        <w:t>Иркутскстата</w:t>
      </w:r>
      <w:proofErr w:type="spellEnd"/>
      <w:r w:rsidRPr="00394D43">
        <w:rPr>
          <w:rFonts w:ascii="Times New Roman" w:hAnsi="Times New Roman" w:cs="Times New Roman"/>
          <w:sz w:val="24"/>
          <w:szCs w:val="24"/>
        </w:rPr>
        <w:t xml:space="preserve">, </w:t>
      </w:r>
      <w:r w:rsidR="00394D43" w:rsidRPr="00394D43">
        <w:rPr>
          <w:rFonts w:ascii="Times New Roman" w:hAnsi="Times New Roman" w:cs="Times New Roman"/>
          <w:sz w:val="24"/>
          <w:szCs w:val="24"/>
        </w:rPr>
        <w:t>отчет</w:t>
      </w:r>
      <w:r w:rsidR="00394D43">
        <w:rPr>
          <w:rFonts w:ascii="Times New Roman" w:hAnsi="Times New Roman" w:cs="Times New Roman"/>
          <w:sz w:val="24"/>
          <w:szCs w:val="24"/>
        </w:rPr>
        <w:t>а</w:t>
      </w:r>
      <w:r w:rsidR="00394D43" w:rsidRPr="00394D43">
        <w:rPr>
          <w:rFonts w:ascii="Times New Roman" w:hAnsi="Times New Roman" w:cs="Times New Roman"/>
          <w:sz w:val="24"/>
          <w:szCs w:val="24"/>
        </w:rPr>
        <w:t xml:space="preserve"> КСП области от 05.06.2018 №01/5-ЭАМ по</w:t>
      </w:r>
      <w:r w:rsidR="00394D43">
        <w:rPr>
          <w:rFonts w:ascii="Times New Roman" w:hAnsi="Times New Roman" w:cs="Times New Roman"/>
          <w:sz w:val="24"/>
          <w:szCs w:val="24"/>
        </w:rPr>
        <w:t xml:space="preserve"> </w:t>
      </w:r>
      <w:r w:rsidR="00394D43" w:rsidRPr="00394D43">
        <w:rPr>
          <w:rFonts w:ascii="Times New Roman" w:hAnsi="Times New Roman" w:cs="Times New Roman"/>
          <w:sz w:val="24"/>
          <w:szCs w:val="24"/>
        </w:rPr>
        <w:t>результатам экспертно-аналитического мероприятия «Оценка бюджетной обеспеченности</w:t>
      </w:r>
      <w:r w:rsidR="00394D43">
        <w:rPr>
          <w:rFonts w:ascii="Times New Roman" w:hAnsi="Times New Roman" w:cs="Times New Roman"/>
          <w:sz w:val="24"/>
          <w:szCs w:val="24"/>
        </w:rPr>
        <w:t xml:space="preserve"> </w:t>
      </w:r>
      <w:r w:rsidR="00394D43" w:rsidRPr="00394D43">
        <w:rPr>
          <w:rFonts w:ascii="Times New Roman" w:hAnsi="Times New Roman" w:cs="Times New Roman"/>
          <w:sz w:val="24"/>
          <w:szCs w:val="24"/>
        </w:rPr>
        <w:t>муниципальных районов и городских округов Иркутской области за период 2016-2017</w:t>
      </w:r>
      <w:r w:rsidR="00394D43">
        <w:rPr>
          <w:rFonts w:ascii="Times New Roman" w:hAnsi="Times New Roman" w:cs="Times New Roman"/>
          <w:sz w:val="24"/>
          <w:szCs w:val="24"/>
        </w:rPr>
        <w:t xml:space="preserve"> </w:t>
      </w:r>
      <w:r w:rsidR="00394D43" w:rsidRPr="00394D43">
        <w:rPr>
          <w:rFonts w:ascii="Times New Roman" w:hAnsi="Times New Roman" w:cs="Times New Roman"/>
          <w:sz w:val="24"/>
          <w:szCs w:val="24"/>
        </w:rPr>
        <w:t>годов».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90" w:rsidRPr="00CE5FE5" w:rsidRDefault="00837190" w:rsidP="00CE5FE5">
    <w:pPr>
      <w:pStyle w:val="a3"/>
      <w:jc w:val="right"/>
      <w:rPr>
        <w:rFonts w:ascii="Times New Roman" w:hAnsi="Times New Roman" w:cs="Times New Roman"/>
        <w:sz w:val="24"/>
      </w:rPr>
    </w:pPr>
    <w:r w:rsidRPr="00CE5FE5">
      <w:rPr>
        <w:rFonts w:ascii="Times New Roman" w:hAnsi="Times New Roman" w:cs="Times New Roman"/>
        <w:sz w:val="24"/>
      </w:rPr>
      <w:t xml:space="preserve">Аналитический отдел управления информационной политики и аналитической работы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4B50"/>
    <w:multiLevelType w:val="hybridMultilevel"/>
    <w:tmpl w:val="A812590E"/>
    <w:lvl w:ilvl="0" w:tplc="34F046BA">
      <w:start w:val="8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821433"/>
    <w:multiLevelType w:val="hybridMultilevel"/>
    <w:tmpl w:val="D1CAB48E"/>
    <w:lvl w:ilvl="0" w:tplc="97401D56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E5"/>
    <w:rsid w:val="001101D2"/>
    <w:rsid w:val="00122CDD"/>
    <w:rsid w:val="00283EB6"/>
    <w:rsid w:val="00394D43"/>
    <w:rsid w:val="003964B7"/>
    <w:rsid w:val="003F2091"/>
    <w:rsid w:val="0041518B"/>
    <w:rsid w:val="004A6260"/>
    <w:rsid w:val="0059441B"/>
    <w:rsid w:val="005A60A4"/>
    <w:rsid w:val="006259A5"/>
    <w:rsid w:val="006E11B3"/>
    <w:rsid w:val="007D0BC6"/>
    <w:rsid w:val="00837190"/>
    <w:rsid w:val="00920FE7"/>
    <w:rsid w:val="00AB317C"/>
    <w:rsid w:val="00AC3127"/>
    <w:rsid w:val="00AF18FD"/>
    <w:rsid w:val="00BA2828"/>
    <w:rsid w:val="00BB1AD6"/>
    <w:rsid w:val="00C8363C"/>
    <w:rsid w:val="00C87C80"/>
    <w:rsid w:val="00CE5FE5"/>
    <w:rsid w:val="00E06104"/>
    <w:rsid w:val="00EE3E70"/>
    <w:rsid w:val="00F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FE5"/>
  </w:style>
  <w:style w:type="paragraph" w:styleId="a5">
    <w:name w:val="footer"/>
    <w:basedOn w:val="a"/>
    <w:link w:val="a6"/>
    <w:uiPriority w:val="99"/>
    <w:unhideWhenUsed/>
    <w:rsid w:val="00CE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FE5"/>
  </w:style>
  <w:style w:type="paragraph" w:styleId="a7">
    <w:name w:val="List Paragraph"/>
    <w:basedOn w:val="a"/>
    <w:uiPriority w:val="34"/>
    <w:qFormat/>
    <w:rsid w:val="005A60A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B317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B317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B317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1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5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5FE5"/>
  </w:style>
  <w:style w:type="paragraph" w:styleId="a5">
    <w:name w:val="footer"/>
    <w:basedOn w:val="a"/>
    <w:link w:val="a6"/>
    <w:uiPriority w:val="99"/>
    <w:unhideWhenUsed/>
    <w:rsid w:val="00CE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5FE5"/>
  </w:style>
  <w:style w:type="paragraph" w:styleId="a7">
    <w:name w:val="List Paragraph"/>
    <w:basedOn w:val="a"/>
    <w:uiPriority w:val="34"/>
    <w:qFormat/>
    <w:rsid w:val="005A60A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B317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B317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B317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1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5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lyakovaMO\Desktop\&#1054;&#1073;&#1097;.&#1089;&#1086;&#1074;&#1077;&#1090;,%20&#1074;&#1086;&#1088;&#1086;&#1085;&#1086;&#1074;&#1072;%201%20&#1087;&#1086;&#1083;&#1091;&#1075;&#1086;&#1076;&#1080;&#1077;%20&#1076;&#1086;&#1082;&#1083;&#1072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Лист1!$J$237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0.0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333333333333333E-2"/>
                  <c:y val="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Лист1!$K$236:$L$236</c:f>
              <c:strCache>
                <c:ptCount val="2"/>
                <c:pt idx="0">
                  <c:v>на 01.01.2017</c:v>
                </c:pt>
                <c:pt idx="1">
                  <c:v>на 01.01.2018</c:v>
                </c:pt>
              </c:strCache>
            </c:strRef>
          </c:cat>
          <c:val>
            <c:numRef>
              <c:f>Лист1!$K$237:$L$237</c:f>
              <c:numCache>
                <c:formatCode>General</c:formatCode>
                <c:ptCount val="2"/>
                <c:pt idx="0">
                  <c:v>25294346.5</c:v>
                </c:pt>
                <c:pt idx="1">
                  <c:v>27812754.800000001</c:v>
                </c:pt>
              </c:numCache>
            </c:numRef>
          </c:val>
        </c:ser>
        <c:ser>
          <c:idx val="1"/>
          <c:order val="1"/>
          <c:tx>
            <c:strRef>
              <c:f>Лист1!$J$238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0185067526415994E-16"/>
                  <c:y val="1.3888888888888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Лист1!$K$236:$L$236</c:f>
              <c:strCache>
                <c:ptCount val="2"/>
                <c:pt idx="0">
                  <c:v>на 01.01.2017</c:v>
                </c:pt>
                <c:pt idx="1">
                  <c:v>на 01.01.2018</c:v>
                </c:pt>
              </c:strCache>
            </c:strRef>
          </c:cat>
          <c:val>
            <c:numRef>
              <c:f>Лист1!$K$238:$L$238</c:f>
              <c:numCache>
                <c:formatCode>General</c:formatCode>
                <c:ptCount val="2"/>
                <c:pt idx="0">
                  <c:v>46155380.100000001</c:v>
                </c:pt>
                <c:pt idx="1">
                  <c:v>54404527.100000001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030656"/>
        <c:axId val="147600128"/>
      </c:barChart>
      <c:catAx>
        <c:axId val="137030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47600128"/>
        <c:crosses val="autoZero"/>
        <c:auto val="1"/>
        <c:lblAlgn val="ctr"/>
        <c:lblOffset val="100"/>
        <c:noMultiLvlLbl val="0"/>
      </c:catAx>
      <c:valAx>
        <c:axId val="14760012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7030656"/>
        <c:crosses val="autoZero"/>
        <c:crossBetween val="between"/>
      </c:valAx>
      <c:spPr>
        <a:noFill/>
      </c:spPr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606A-26E3-4E0F-887D-5D3CFE43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Мария Олеговна</dc:creator>
  <cp:lastModifiedBy>Андреева Елена Витальевна</cp:lastModifiedBy>
  <cp:revision>2</cp:revision>
  <dcterms:created xsi:type="dcterms:W3CDTF">2018-06-13T05:27:00Z</dcterms:created>
  <dcterms:modified xsi:type="dcterms:W3CDTF">2018-06-13T05:27:00Z</dcterms:modified>
</cp:coreProperties>
</file>